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2 -->
  <w:body>
    <w:p>
      <w:pPr>
        <w:pStyle w:val="Heading1"/>
        <w:keepNext/>
        <w:keepLines w:val="0"/>
        <w:pageBreakBefore/>
        <w:widowControl/>
        <w:kinsoku/>
        <w:wordWrap/>
        <w:overflowPunct/>
        <w:topLinePunct w:val="0"/>
        <w:autoSpaceDE/>
        <w:autoSpaceDN w:val="0"/>
        <w:bidi w:val="0"/>
        <w:adjustRightInd/>
        <w:snapToGrid w:val="0"/>
        <w:spacing w:line="240" w:lineRule="auto"/>
        <w:jc w:val="center"/>
        <w:textAlignment w:val="center"/>
        <w:rPr>
          <w:rFonts w:hint="default"/>
        </w:rPr>
      </w:pPr>
      <w:bookmarkStart w:id="0" w:name="_Toc5646"/>
      <w:r>
        <w:rPr>
          <w:rFonts w:hint="default"/>
        </w:rPr>
        <w:t>工业工程专业</w:t>
      </w:r>
      <w:r>
        <w:rPr>
          <w:rFonts w:hint="default"/>
        </w:rPr>
        <w:br/>
      </w:r>
      <w:r>
        <w:rPr>
          <w:rFonts w:hint="default"/>
        </w:rPr>
        <w:t>本科人才培养方案</w:t>
      </w:r>
      <w:bookmarkEnd w:id="0"/>
    </w:p>
    <w:p>
      <w:pPr>
        <w:numPr>
          <w:ilvl w:val="0"/>
          <w:numId w:val="0"/>
        </w:numPr>
        <w:spacing w:line="360" w:lineRule="auto"/>
        <w:ind w:firstLine="420" w:firstLineChars="0"/>
        <w:rPr>
          <w:rFonts w:ascii="黑体" w:eastAsia="黑体" w:hAnsi="黑体" w:cs="黑体" w:hint="eastAsia"/>
          <w:snapToGrid w:val="0"/>
          <w:color w:val="000000"/>
          <w:spacing w:val="0"/>
          <w:w w:val="100"/>
          <w:kern w:val="0"/>
          <w:position w:val="0"/>
          <w:sz w:val="24"/>
          <w:szCs w:val="24"/>
        </w:rPr>
      </w:pPr>
      <w:r>
        <w:rPr>
          <w:rFonts w:ascii="黑体" w:eastAsia="黑体" w:hAnsi="黑体" w:cs="黑体" w:hint="eastAsia"/>
          <w:sz w:val="24"/>
          <w:szCs w:val="24"/>
          <w:highlight w:val="none"/>
          <w:lang w:val="en-US" w:eastAsia="zh-CN"/>
        </w:rPr>
        <w:t>所属学科门类：管理学    专业类别：工业工程类    专业代码：</w:t>
      </w:r>
      <w:r>
        <w:rPr>
          <w:rFonts w:ascii="Times New Roman" w:eastAsia="黑体" w:hAnsi="Times New Roman" w:cs="Times New Roman" w:hint="default"/>
          <w:b/>
          <w:bCs/>
          <w:sz w:val="24"/>
          <w:szCs w:val="24"/>
          <w:highlight w:val="none"/>
          <w:lang w:val="en-US" w:eastAsia="zh-CN"/>
        </w:rPr>
        <w:t>120701</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firstLineChars="200"/>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snapToGrid w:val="0"/>
          <w:color w:val="000000"/>
          <w:spacing w:val="0"/>
          <w:w w:val="100"/>
          <w:kern w:val="0"/>
          <w:position w:val="0"/>
          <w:szCs w:val="21"/>
        </w:rPr>
        <w:t>山东理工大学工业工程专业于2000年设立，是山东省较早设立的同类专业之一。2003年获批管理科学与工程一级学科硕士学位授权点，2010年获批工程硕士（工业工程领域）专业学位授权点，2013年入选山东省名校工程重点专业，2016年入选山东省高水平应用型专业群支撑专业，2018年入选公派出国留学“省校联合培养计划”专业，2019年获批工程管理（MEM）专业学位硕士点，2022年入选山东省一流本科专业建设点。</w:t>
      </w:r>
    </w:p>
    <w:p>
      <w:pPr>
        <w:keepNext w:val="0"/>
        <w:keepLines w:val="0"/>
        <w:pageBreakBefore w:val="0"/>
        <w:widowControl w:val="0"/>
        <w:kinsoku/>
        <w:wordWrap/>
        <w:overflowPunct/>
        <w:topLinePunct w:val="0"/>
        <w:autoSpaceDE/>
        <w:autoSpaceDN/>
        <w:bidi w:val="0"/>
        <w:adjustRightInd/>
        <w:snapToGrid/>
        <w:spacing w:before="159" w:beforeLines="50" w:after="159" w:afterLines="50" w:line="360" w:lineRule="auto"/>
        <w:textAlignment w:val="auto"/>
        <w:outlineLvl w:val="2"/>
        <w:rPr>
          <w:rFonts w:ascii="Times New Roman" w:hAnsi="Times New Roman" w:cs="Times New Roman" w:hint="default"/>
          <w:b/>
          <w:spacing w:val="0"/>
          <w:w w:val="100"/>
          <w:kern w:val="0"/>
          <w:position w:val="0"/>
          <w:sz w:val="24"/>
        </w:rPr>
      </w:pPr>
      <w:r>
        <w:rPr>
          <w:rFonts w:ascii="Times New Roman" w:hAnsi="Times New Roman" w:cs="Times New Roman" w:hint="default"/>
          <w:b/>
          <w:spacing w:val="0"/>
          <w:w w:val="100"/>
          <w:kern w:val="0"/>
          <w:position w:val="0"/>
          <w:sz w:val="24"/>
        </w:rPr>
        <w:t>一、专业培养目标</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snapToGrid w:val="0"/>
          <w:color w:val="000000"/>
          <w:spacing w:val="0"/>
          <w:w w:val="100"/>
          <w:kern w:val="0"/>
          <w:position w:val="0"/>
          <w:szCs w:val="21"/>
        </w:rPr>
        <w:t>立足山东、面向全国，主动对接制造强国战略，服务山东省制造强省战略与新质生产力发展需求，培养系统掌握工业工程基础理论、专业知识和工具方法，具有科学素养、人文底蕴、系统思维、创新精神和创业意识，能够在企事业单位与政府机关从事制造与服务系统的规划设计、组织实施、综合评价、持续改善等工作的德智体美劳全面发展的“工程+管理”高素质应用型人才。</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snapToGrid w:val="0"/>
          <w:color w:val="000000"/>
          <w:spacing w:val="0"/>
          <w:w w:val="100"/>
          <w:kern w:val="0"/>
          <w:position w:val="0"/>
          <w:szCs w:val="21"/>
        </w:rPr>
        <w:t>学生在毕业后5年左右预期能够实现以下目标：</w:t>
      </w:r>
    </w:p>
    <w:p>
      <w:pPr>
        <w:keepNext w:val="0"/>
        <w:keepLines w:val="0"/>
        <w:pageBreakBefore w:val="0"/>
        <w:widowControl/>
        <w:numPr>
          <w:ilvl w:val="0"/>
          <w:numId w:val="0"/>
        </w:numPr>
        <w:kinsoku w:val="0"/>
        <w:wordWrap/>
        <w:overflowPunct/>
        <w:topLinePunct w:val="0"/>
        <w:autoSpaceDE w:val="0"/>
        <w:autoSpaceDN w:val="0"/>
        <w:bidi w:val="0"/>
        <w:adjustRightInd w:val="0"/>
        <w:snapToGrid/>
        <w:spacing w:line="360" w:lineRule="auto"/>
        <w:ind w:left="0" w:right="74" w:firstLine="400" w:leftChars="0" w:rightChars="0" w:firstLineChars="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eastAsia="宋体" w:hAnsi="Times New Roman" w:cs="Times New Roman" w:hint="default"/>
          <w:snapToGrid w:val="0"/>
          <w:color w:val="000000"/>
          <w:spacing w:val="0"/>
          <w:w w:val="100"/>
          <w:kern w:val="0"/>
          <w:position w:val="0"/>
          <w:sz w:val="21"/>
          <w:szCs w:val="21"/>
          <w:lang w:val="en-US" w:eastAsia="zh-CN" w:bidi="ar-SA"/>
        </w:rPr>
        <w:t>1．</w:t>
      </w:r>
      <w:r>
        <w:rPr>
          <w:rFonts w:ascii="Times New Roman" w:hAnsi="Times New Roman" w:cs="Times New Roman" w:hint="default"/>
          <w:snapToGrid w:val="0"/>
          <w:color w:val="000000"/>
          <w:spacing w:val="0"/>
          <w:w w:val="100"/>
          <w:kern w:val="0"/>
          <w:position w:val="0"/>
          <w:szCs w:val="21"/>
        </w:rPr>
        <w:t>具有良好的思想道德品质和社会责任感，身心健康、积极向上、遵纪守法，理解并践行职业道德规范，在工程实践中坚守伦理道德和专业职责；</w:t>
      </w:r>
    </w:p>
    <w:p>
      <w:pPr>
        <w:keepNext w:val="0"/>
        <w:keepLines w:val="0"/>
        <w:pageBreakBefore w:val="0"/>
        <w:widowControl/>
        <w:numPr>
          <w:ilvl w:val="0"/>
          <w:numId w:val="0"/>
        </w:numPr>
        <w:kinsoku w:val="0"/>
        <w:wordWrap/>
        <w:overflowPunct/>
        <w:topLinePunct w:val="0"/>
        <w:autoSpaceDE w:val="0"/>
        <w:autoSpaceDN w:val="0"/>
        <w:bidi w:val="0"/>
        <w:adjustRightInd w:val="0"/>
        <w:snapToGrid/>
        <w:spacing w:line="360" w:lineRule="auto"/>
        <w:ind w:left="0" w:right="74" w:firstLine="400" w:leftChars="0" w:rightChars="0" w:firstLineChars="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eastAsia="宋体" w:hAnsi="Times New Roman" w:cs="Times New Roman" w:hint="default"/>
          <w:snapToGrid w:val="0"/>
          <w:color w:val="000000"/>
          <w:spacing w:val="0"/>
          <w:w w:val="100"/>
          <w:kern w:val="0"/>
          <w:position w:val="0"/>
          <w:sz w:val="21"/>
          <w:szCs w:val="21"/>
          <w:lang w:val="en-US" w:eastAsia="zh-CN" w:bidi="ar-SA"/>
        </w:rPr>
        <w:t>2．</w:t>
      </w:r>
      <w:r>
        <w:rPr>
          <w:rFonts w:ascii="Times New Roman" w:hAnsi="Times New Roman" w:cs="Times New Roman" w:hint="default"/>
          <w:snapToGrid w:val="0"/>
          <w:color w:val="000000"/>
          <w:spacing w:val="0"/>
          <w:w w:val="100"/>
          <w:kern w:val="0"/>
          <w:position w:val="0"/>
          <w:szCs w:val="21"/>
        </w:rPr>
        <w:t>掌握扎实宽广的工业工程专业知识，具备系统分析能力和组织管理能力，胜任工业工程相关工作岗位，能够熟练运用专业知识和技能，实现制造与服务系统持续改善；</w:t>
      </w:r>
    </w:p>
    <w:p>
      <w:pPr>
        <w:keepNext w:val="0"/>
        <w:keepLines w:val="0"/>
        <w:pageBreakBefore w:val="0"/>
        <w:widowControl/>
        <w:numPr>
          <w:ilvl w:val="0"/>
          <w:numId w:val="0"/>
        </w:numPr>
        <w:kinsoku w:val="0"/>
        <w:wordWrap/>
        <w:overflowPunct/>
        <w:topLinePunct w:val="0"/>
        <w:autoSpaceDE w:val="0"/>
        <w:autoSpaceDN w:val="0"/>
        <w:bidi w:val="0"/>
        <w:adjustRightInd w:val="0"/>
        <w:snapToGrid/>
        <w:spacing w:line="360" w:lineRule="auto"/>
        <w:ind w:left="0" w:right="74" w:firstLine="400" w:leftChars="0" w:rightChars="0" w:firstLineChars="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eastAsia="宋体" w:hAnsi="Times New Roman" w:cs="Times New Roman" w:hint="default"/>
          <w:snapToGrid w:val="0"/>
          <w:color w:val="000000"/>
          <w:spacing w:val="0"/>
          <w:w w:val="100"/>
          <w:kern w:val="0"/>
          <w:position w:val="0"/>
          <w:sz w:val="21"/>
          <w:szCs w:val="21"/>
          <w:lang w:val="en-US" w:eastAsia="zh-CN" w:bidi="ar-SA"/>
        </w:rPr>
        <w:t>3．</w:t>
      </w:r>
      <w:r>
        <w:rPr>
          <w:rFonts w:ascii="Times New Roman" w:hAnsi="Times New Roman" w:cs="Times New Roman" w:hint="default"/>
          <w:snapToGrid w:val="0"/>
          <w:color w:val="000000"/>
          <w:spacing w:val="0"/>
          <w:w w:val="100"/>
          <w:kern w:val="0"/>
          <w:position w:val="0"/>
          <w:szCs w:val="21"/>
        </w:rPr>
        <w:t>具备运筹帷幄能力和人文社科素养，融合工程技术与管理科学，用“以人为本、系统优化、精益求精”的工业工程专业智慧解决实际问题，在相关组织中承担管理或领导工作；</w:t>
      </w:r>
    </w:p>
    <w:p>
      <w:pPr>
        <w:keepNext w:val="0"/>
        <w:keepLines w:val="0"/>
        <w:pageBreakBefore w:val="0"/>
        <w:widowControl/>
        <w:numPr>
          <w:ilvl w:val="0"/>
          <w:numId w:val="0"/>
        </w:numPr>
        <w:kinsoku w:val="0"/>
        <w:wordWrap/>
        <w:overflowPunct/>
        <w:topLinePunct w:val="0"/>
        <w:autoSpaceDE w:val="0"/>
        <w:autoSpaceDN w:val="0"/>
        <w:bidi w:val="0"/>
        <w:adjustRightInd w:val="0"/>
        <w:snapToGrid/>
        <w:spacing w:line="360" w:lineRule="auto"/>
        <w:ind w:left="0" w:right="74" w:firstLine="400" w:leftChars="0" w:rightChars="0" w:firstLineChars="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eastAsia="宋体" w:hAnsi="Times New Roman" w:cs="Times New Roman" w:hint="default"/>
          <w:snapToGrid w:val="0"/>
          <w:color w:val="000000"/>
          <w:spacing w:val="0"/>
          <w:w w:val="100"/>
          <w:kern w:val="0"/>
          <w:position w:val="0"/>
          <w:sz w:val="21"/>
          <w:szCs w:val="21"/>
          <w:lang w:val="en-US" w:eastAsia="zh-CN" w:bidi="ar-SA"/>
        </w:rPr>
        <w:t>4．</w:t>
      </w:r>
      <w:r>
        <w:rPr>
          <w:rFonts w:ascii="Times New Roman" w:hAnsi="Times New Roman" w:cs="Times New Roman" w:hint="default"/>
          <w:snapToGrid w:val="0"/>
          <w:color w:val="000000"/>
          <w:spacing w:val="0"/>
          <w:w w:val="100"/>
          <w:kern w:val="0"/>
          <w:position w:val="0"/>
          <w:szCs w:val="21"/>
        </w:rPr>
        <w:t>拥有全球化意识和国际视野，具有系统思维、批判思维、创新精神和创业意识，能够通过终身学习持续提升工业工程专业能力和综合素质，快速适应社会发展与技术进步。</w:t>
      </w:r>
    </w:p>
    <w:p>
      <w:pPr>
        <w:keepNext w:val="0"/>
        <w:keepLines w:val="0"/>
        <w:pageBreakBefore w:val="0"/>
        <w:widowControl w:val="0"/>
        <w:kinsoku/>
        <w:wordWrap/>
        <w:overflowPunct/>
        <w:topLinePunct w:val="0"/>
        <w:autoSpaceDE/>
        <w:autoSpaceDN/>
        <w:bidi w:val="0"/>
        <w:adjustRightInd/>
        <w:snapToGrid/>
        <w:spacing w:before="159" w:beforeLines="50" w:after="159" w:afterLines="50" w:line="360" w:lineRule="auto"/>
        <w:textAlignment w:val="auto"/>
        <w:outlineLvl w:val="2"/>
        <w:rPr>
          <w:rFonts w:ascii="Times New Roman" w:hAnsi="Times New Roman" w:cs="Times New Roman" w:hint="default"/>
          <w:b/>
          <w:spacing w:val="0"/>
          <w:w w:val="100"/>
          <w:kern w:val="0"/>
          <w:position w:val="0"/>
          <w:sz w:val="24"/>
        </w:rPr>
      </w:pPr>
      <w:r>
        <w:rPr>
          <w:rFonts w:ascii="Times New Roman" w:hAnsi="Times New Roman" w:cs="Times New Roman" w:hint="default"/>
          <w:b/>
          <w:spacing w:val="0"/>
          <w:w w:val="100"/>
          <w:kern w:val="0"/>
          <w:position w:val="0"/>
          <w:sz w:val="24"/>
        </w:rPr>
        <w:t>二、毕业要求</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snapToGrid w:val="0"/>
          <w:color w:val="000000"/>
          <w:spacing w:val="0"/>
          <w:w w:val="100"/>
          <w:kern w:val="0"/>
          <w:position w:val="0"/>
          <w:szCs w:val="21"/>
        </w:rPr>
        <w:t>通过3~6年的系统学习，本专业学生应具有良好的思想道德品质，掌握宽广的工程技术、经济管理、数理分析、信息技术等领域的专业知识和技能，具备对复杂制造与服务系统进行分析、规划、设计、管理和运作的综合能力。</w:t>
      </w:r>
    </w:p>
    <w:p>
      <w:pPr>
        <w:keepNext w:val="0"/>
        <w:keepLines w:val="0"/>
        <w:pageBreakBefore w:val="0"/>
        <w:wordWrap/>
        <w:overflowPunct/>
        <w:topLinePunct w:val="0"/>
        <w:bidi w:val="0"/>
        <w:snapToGrid/>
        <w:spacing w:line="360" w:lineRule="auto"/>
        <w:ind w:firstLine="420"/>
        <w:rPr>
          <w:rFonts w:ascii="Times New Roman" w:hAnsi="Times New Roman" w:cs="Times New Roman" w:hint="default"/>
          <w:b/>
          <w:spacing w:val="0"/>
          <w:w w:val="100"/>
          <w:kern w:val="0"/>
          <w:position w:val="0"/>
        </w:rPr>
      </w:pPr>
      <w:r>
        <w:rPr>
          <w:rFonts w:ascii="Times New Roman" w:hAnsi="Times New Roman" w:cs="Times New Roman" w:hint="default"/>
          <w:b/>
          <w:spacing w:val="0"/>
          <w:w w:val="100"/>
          <w:kern w:val="0"/>
          <w:position w:val="0"/>
        </w:rPr>
        <w:t>毕业要求 1：思想品德</w:t>
      </w:r>
      <w:r>
        <w:rPr>
          <w:rFonts w:ascii="Times New Roman" w:hAnsi="Times New Roman" w:cs="Times New Roman" w:hint="default"/>
          <w:b/>
          <w:spacing w:val="0"/>
          <w:w w:val="100"/>
          <w:kern w:val="0"/>
          <w:position w:val="0"/>
          <w:lang w:eastAsia="zh-CN"/>
        </w:rPr>
        <w:t>—</w:t>
      </w:r>
      <w:r>
        <w:rPr>
          <w:rFonts w:ascii="Times New Roman" w:hAnsi="Times New Roman" w:cs="Times New Roman" w:hint="default"/>
          <w:b/>
          <w:spacing w:val="0"/>
          <w:w w:val="100"/>
          <w:kern w:val="0"/>
          <w:position w:val="0"/>
        </w:rPr>
        <w:t>具有良好的政治思想和职业道德</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b/>
          <w:snapToGrid w:val="0"/>
          <w:color w:val="000000"/>
          <w:spacing w:val="0"/>
          <w:w w:val="100"/>
          <w:kern w:val="0"/>
          <w:position w:val="0"/>
          <w:sz w:val="21"/>
          <w:szCs w:val="21"/>
          <w:lang w:eastAsia="zh-CN"/>
        </w:rPr>
        <w:t>内涵观测点 1.1：</w:t>
      </w:r>
      <w:r>
        <w:rPr>
          <w:rFonts w:ascii="Times New Roman" w:hAnsi="Times New Roman" w:cs="Times New Roman" w:hint="default"/>
          <w:snapToGrid w:val="0"/>
          <w:color w:val="000000"/>
          <w:spacing w:val="0"/>
          <w:w w:val="100"/>
          <w:kern w:val="0"/>
          <w:position w:val="0"/>
          <w:szCs w:val="21"/>
        </w:rPr>
        <w:t>具有良好的政治思想，遵守职业道德，爱国爱校、爱岗敬业。</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b/>
          <w:snapToGrid w:val="0"/>
          <w:color w:val="000000"/>
          <w:spacing w:val="0"/>
          <w:w w:val="100"/>
          <w:kern w:val="0"/>
          <w:position w:val="0"/>
          <w:sz w:val="21"/>
          <w:szCs w:val="21"/>
          <w:lang w:eastAsia="zh-CN"/>
        </w:rPr>
        <w:t>内涵观测点 1.2：</w:t>
      </w:r>
      <w:r>
        <w:rPr>
          <w:rFonts w:ascii="Times New Roman" w:hAnsi="Times New Roman" w:cs="Times New Roman" w:hint="default"/>
          <w:snapToGrid w:val="0"/>
          <w:color w:val="000000"/>
          <w:spacing w:val="0"/>
          <w:w w:val="100"/>
          <w:kern w:val="0"/>
          <w:position w:val="0"/>
          <w:szCs w:val="21"/>
        </w:rPr>
        <w:t>具有马克思主义劳动观，践行社会主义核心价值观。</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b/>
          <w:snapToGrid w:val="0"/>
          <w:color w:val="000000"/>
          <w:spacing w:val="0"/>
          <w:w w:val="100"/>
          <w:kern w:val="0"/>
          <w:position w:val="0"/>
          <w:sz w:val="21"/>
          <w:szCs w:val="21"/>
          <w:lang w:eastAsia="zh-CN"/>
        </w:rPr>
        <w:t>内涵观测点 1.3：</w:t>
      </w:r>
      <w:r>
        <w:rPr>
          <w:rFonts w:ascii="Times New Roman" w:hAnsi="Times New Roman" w:cs="Times New Roman" w:hint="default"/>
          <w:snapToGrid w:val="0"/>
          <w:color w:val="000000"/>
          <w:spacing w:val="0"/>
          <w:w w:val="100"/>
          <w:kern w:val="0"/>
          <w:position w:val="0"/>
          <w:szCs w:val="21"/>
        </w:rPr>
        <w:t>具有一定的人文素养、科学精神和经济法律等常识。</w:t>
      </w:r>
    </w:p>
    <w:p>
      <w:pPr>
        <w:keepNext w:val="0"/>
        <w:keepLines w:val="0"/>
        <w:pageBreakBefore w:val="0"/>
        <w:wordWrap/>
        <w:overflowPunct/>
        <w:topLinePunct w:val="0"/>
        <w:bidi w:val="0"/>
        <w:snapToGrid/>
        <w:spacing w:line="360" w:lineRule="auto"/>
        <w:ind w:firstLine="420"/>
        <w:rPr>
          <w:rFonts w:ascii="Times New Roman" w:hAnsi="Times New Roman" w:cs="Times New Roman" w:hint="default"/>
          <w:b/>
          <w:spacing w:val="0"/>
          <w:w w:val="100"/>
          <w:kern w:val="0"/>
          <w:position w:val="0"/>
        </w:rPr>
      </w:pPr>
      <w:r>
        <w:rPr>
          <w:rFonts w:ascii="Times New Roman" w:hAnsi="Times New Roman" w:cs="Times New Roman" w:hint="default"/>
          <w:b/>
          <w:spacing w:val="0"/>
          <w:w w:val="100"/>
          <w:kern w:val="0"/>
          <w:position w:val="0"/>
        </w:rPr>
        <w:t>毕业要求 2：专业知识</w:t>
      </w:r>
      <w:r>
        <w:rPr>
          <w:rFonts w:ascii="Times New Roman" w:hAnsi="Times New Roman" w:cs="Times New Roman" w:hint="default"/>
          <w:b/>
          <w:spacing w:val="0"/>
          <w:w w:val="100"/>
          <w:kern w:val="0"/>
          <w:position w:val="0"/>
          <w:lang w:eastAsia="zh-CN"/>
        </w:rPr>
        <w:t>—</w:t>
      </w:r>
      <w:r>
        <w:rPr>
          <w:rFonts w:ascii="Times New Roman" w:hAnsi="Times New Roman" w:cs="Times New Roman" w:hint="default"/>
          <w:b/>
          <w:spacing w:val="0"/>
          <w:w w:val="100"/>
          <w:kern w:val="0"/>
          <w:position w:val="0"/>
        </w:rPr>
        <w:t>熟悉并掌握工业工程领域基础性知识体系</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b/>
          <w:snapToGrid w:val="0"/>
          <w:color w:val="000000"/>
          <w:spacing w:val="0"/>
          <w:w w:val="100"/>
          <w:kern w:val="0"/>
          <w:position w:val="0"/>
          <w:sz w:val="21"/>
          <w:szCs w:val="21"/>
          <w:lang w:eastAsia="zh-CN"/>
        </w:rPr>
        <w:t>内涵观测点 2.1：</w:t>
      </w:r>
      <w:r>
        <w:rPr>
          <w:rFonts w:ascii="Times New Roman" w:hAnsi="Times New Roman" w:cs="Times New Roman" w:hint="default"/>
          <w:snapToGrid w:val="0"/>
          <w:color w:val="000000"/>
          <w:spacing w:val="0"/>
          <w:w w:val="100"/>
          <w:kern w:val="0"/>
          <w:position w:val="0"/>
          <w:szCs w:val="21"/>
        </w:rPr>
        <w:t>掌握工业工程基础理论与知识，掌握现代管理科学的基本理论与知识。</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b/>
          <w:snapToGrid w:val="0"/>
          <w:color w:val="000000"/>
          <w:spacing w:val="0"/>
          <w:w w:val="100"/>
          <w:kern w:val="0"/>
          <w:position w:val="0"/>
          <w:sz w:val="21"/>
          <w:szCs w:val="21"/>
          <w:lang w:eastAsia="zh-CN"/>
        </w:rPr>
        <w:t>内涵观测点 2.2：</w:t>
      </w:r>
      <w:r>
        <w:rPr>
          <w:rFonts w:ascii="Times New Roman" w:hAnsi="Times New Roman" w:cs="Times New Roman" w:hint="default"/>
          <w:snapToGrid w:val="0"/>
          <w:color w:val="000000"/>
          <w:spacing w:val="0"/>
          <w:w w:val="100"/>
          <w:kern w:val="0"/>
          <w:position w:val="0"/>
          <w:szCs w:val="21"/>
        </w:rPr>
        <w:t>掌握数理建模、数据分析、工程技术、信息技术等交叉学科理论与知识。</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b/>
          <w:snapToGrid w:val="0"/>
          <w:color w:val="000000"/>
          <w:spacing w:val="0"/>
          <w:w w:val="100"/>
          <w:kern w:val="0"/>
          <w:position w:val="0"/>
          <w:sz w:val="21"/>
          <w:szCs w:val="21"/>
          <w:lang w:eastAsia="zh-CN"/>
        </w:rPr>
        <w:t>内涵观测点 2.3：</w:t>
      </w:r>
      <w:r>
        <w:rPr>
          <w:rFonts w:ascii="Times New Roman" w:hAnsi="Times New Roman" w:cs="Times New Roman" w:hint="default"/>
          <w:snapToGrid w:val="0"/>
          <w:color w:val="000000"/>
          <w:spacing w:val="0"/>
          <w:w w:val="100"/>
          <w:kern w:val="0"/>
          <w:position w:val="0"/>
          <w:szCs w:val="21"/>
        </w:rPr>
        <w:t>掌握复杂制造与服务系统的基本理论与知识，了解现代工业工程的前沿动态和应用前景，理解专业应承担的经济、环境、安全和公平等社会责任。</w:t>
      </w:r>
    </w:p>
    <w:p>
      <w:pPr>
        <w:keepNext w:val="0"/>
        <w:keepLines w:val="0"/>
        <w:pageBreakBefore w:val="0"/>
        <w:wordWrap/>
        <w:overflowPunct/>
        <w:topLinePunct w:val="0"/>
        <w:bidi w:val="0"/>
        <w:snapToGrid/>
        <w:spacing w:line="360" w:lineRule="auto"/>
        <w:ind w:firstLine="420"/>
        <w:rPr>
          <w:rFonts w:ascii="Times New Roman" w:hAnsi="Times New Roman" w:cs="Times New Roman" w:hint="default"/>
          <w:b/>
          <w:spacing w:val="0"/>
          <w:w w:val="100"/>
          <w:kern w:val="0"/>
          <w:position w:val="0"/>
        </w:rPr>
      </w:pPr>
      <w:r>
        <w:rPr>
          <w:rFonts w:ascii="Times New Roman" w:hAnsi="Times New Roman" w:cs="Times New Roman" w:hint="default"/>
          <w:b/>
          <w:spacing w:val="0"/>
          <w:w w:val="100"/>
          <w:kern w:val="0"/>
          <w:position w:val="0"/>
        </w:rPr>
        <w:t>毕业要求 3：专业能力</w:t>
      </w:r>
      <w:r>
        <w:rPr>
          <w:rFonts w:ascii="Times New Roman" w:hAnsi="Times New Roman" w:cs="Times New Roman" w:hint="default"/>
          <w:b/>
          <w:spacing w:val="0"/>
          <w:w w:val="100"/>
          <w:kern w:val="0"/>
          <w:position w:val="0"/>
          <w:lang w:eastAsia="zh-CN"/>
        </w:rPr>
        <w:t>—</w:t>
      </w:r>
      <w:r>
        <w:rPr>
          <w:rFonts w:ascii="Times New Roman" w:hAnsi="Times New Roman" w:cs="Times New Roman" w:hint="default"/>
          <w:b/>
          <w:spacing w:val="0"/>
          <w:w w:val="100"/>
          <w:kern w:val="0"/>
          <w:position w:val="0"/>
        </w:rPr>
        <w:t>能够主动将理论知识运用到实践问题</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b/>
          <w:snapToGrid w:val="0"/>
          <w:color w:val="000000"/>
          <w:spacing w:val="0"/>
          <w:w w:val="100"/>
          <w:kern w:val="0"/>
          <w:position w:val="0"/>
          <w:sz w:val="21"/>
          <w:szCs w:val="21"/>
          <w:lang w:eastAsia="zh-CN"/>
        </w:rPr>
        <w:t>内涵观测点 3.1：</w:t>
      </w:r>
      <w:r>
        <w:rPr>
          <w:rFonts w:ascii="Times New Roman" w:hAnsi="Times New Roman" w:cs="Times New Roman" w:hint="default"/>
          <w:snapToGrid w:val="0"/>
          <w:color w:val="000000"/>
          <w:spacing w:val="0"/>
          <w:w w:val="100"/>
          <w:kern w:val="0"/>
          <w:position w:val="0"/>
          <w:szCs w:val="21"/>
        </w:rPr>
        <w:t>具备运用数学、物理学、计算机、人工智能、社会科学等学科理论与知识，对复杂制造与服务系统进行分析、规划、设计、实施、评价和改善的能力。</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b/>
          <w:snapToGrid w:val="0"/>
          <w:color w:val="000000"/>
          <w:spacing w:val="0"/>
          <w:w w:val="100"/>
          <w:kern w:val="0"/>
          <w:position w:val="0"/>
          <w:sz w:val="21"/>
          <w:szCs w:val="21"/>
          <w:lang w:eastAsia="zh-CN"/>
        </w:rPr>
        <w:t>内涵观测点 3.2：</w:t>
      </w:r>
      <w:r>
        <w:rPr>
          <w:rFonts w:ascii="Times New Roman" w:hAnsi="Times New Roman" w:cs="Times New Roman" w:hint="default"/>
          <w:snapToGrid w:val="0"/>
          <w:color w:val="000000"/>
          <w:spacing w:val="0"/>
          <w:w w:val="100"/>
          <w:kern w:val="0"/>
          <w:position w:val="0"/>
          <w:szCs w:val="21"/>
        </w:rPr>
        <w:t>能够针对制造与服务系统的复杂工程问题，开发、选择与使用恰当的资源、技术、工具和方法，对系统进行预测与模拟、仿真与优化，并能够理解其局限性。</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b/>
          <w:snapToGrid w:val="0"/>
          <w:color w:val="000000"/>
          <w:spacing w:val="0"/>
          <w:w w:val="100"/>
          <w:kern w:val="0"/>
          <w:position w:val="0"/>
          <w:sz w:val="21"/>
          <w:szCs w:val="21"/>
          <w:lang w:eastAsia="zh-CN"/>
        </w:rPr>
        <w:t>内涵观测点 3.3：</w:t>
      </w:r>
      <w:r>
        <w:rPr>
          <w:rFonts w:ascii="Times New Roman" w:hAnsi="Times New Roman" w:cs="Times New Roman" w:hint="default"/>
          <w:snapToGrid w:val="0"/>
          <w:color w:val="000000"/>
          <w:spacing w:val="0"/>
          <w:w w:val="100"/>
          <w:kern w:val="0"/>
          <w:position w:val="0"/>
          <w:szCs w:val="21"/>
        </w:rPr>
        <w:t>掌握文献检索、资料查询的基本方法，具备自主获取和运用所学理论与方法对工业工程领域相关问题进行识别、描述和分析，并采用科学方法得出有效结论的能力。</w:t>
      </w:r>
    </w:p>
    <w:p>
      <w:pPr>
        <w:keepNext w:val="0"/>
        <w:keepLines w:val="0"/>
        <w:pageBreakBefore w:val="0"/>
        <w:wordWrap/>
        <w:overflowPunct/>
        <w:topLinePunct w:val="0"/>
        <w:bidi w:val="0"/>
        <w:snapToGrid/>
        <w:spacing w:line="360" w:lineRule="auto"/>
        <w:ind w:firstLine="420"/>
        <w:rPr>
          <w:rFonts w:ascii="Times New Roman" w:hAnsi="Times New Roman" w:cs="Times New Roman" w:hint="default"/>
          <w:b/>
          <w:spacing w:val="0"/>
          <w:w w:val="100"/>
          <w:kern w:val="0"/>
          <w:position w:val="0"/>
        </w:rPr>
      </w:pPr>
      <w:r>
        <w:rPr>
          <w:rFonts w:ascii="Times New Roman" w:hAnsi="Times New Roman" w:cs="Times New Roman" w:hint="default"/>
          <w:b/>
          <w:spacing w:val="0"/>
          <w:w w:val="100"/>
          <w:kern w:val="0"/>
          <w:position w:val="0"/>
        </w:rPr>
        <w:t>毕业要求 4：综合素质</w:t>
      </w:r>
      <w:r>
        <w:rPr>
          <w:rFonts w:ascii="Times New Roman" w:hAnsi="Times New Roman" w:cs="Times New Roman" w:hint="default"/>
          <w:b/>
          <w:spacing w:val="0"/>
          <w:w w:val="100"/>
          <w:kern w:val="0"/>
          <w:position w:val="0"/>
          <w:lang w:eastAsia="zh-CN"/>
        </w:rPr>
        <w:t>—</w:t>
      </w:r>
      <w:r>
        <w:rPr>
          <w:rFonts w:ascii="Times New Roman" w:hAnsi="Times New Roman" w:cs="Times New Roman" w:hint="default"/>
          <w:b/>
          <w:spacing w:val="0"/>
          <w:w w:val="100"/>
          <w:kern w:val="0"/>
          <w:position w:val="0"/>
        </w:rPr>
        <w:t>建立健全职业发展所需要的综合素质</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b/>
          <w:snapToGrid w:val="0"/>
          <w:color w:val="000000"/>
          <w:spacing w:val="0"/>
          <w:w w:val="100"/>
          <w:kern w:val="0"/>
          <w:position w:val="0"/>
          <w:sz w:val="21"/>
          <w:szCs w:val="21"/>
          <w:lang w:eastAsia="zh-CN"/>
        </w:rPr>
        <w:t>内涵观测点 4.1：</w:t>
      </w:r>
      <w:r>
        <w:rPr>
          <w:rFonts w:ascii="Times New Roman" w:hAnsi="Times New Roman" w:cs="Times New Roman" w:hint="default"/>
          <w:snapToGrid w:val="0"/>
          <w:color w:val="000000"/>
          <w:spacing w:val="0"/>
          <w:w w:val="100"/>
          <w:kern w:val="0"/>
          <w:position w:val="0"/>
          <w:szCs w:val="21"/>
        </w:rPr>
        <w:t>具备一定的国际视野和跨文化沟通能力，能与国内外同行进行有效沟通交流。</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b/>
          <w:snapToGrid w:val="0"/>
          <w:color w:val="000000"/>
          <w:spacing w:val="0"/>
          <w:w w:val="100"/>
          <w:kern w:val="0"/>
          <w:position w:val="0"/>
          <w:sz w:val="21"/>
          <w:szCs w:val="21"/>
          <w:lang w:eastAsia="zh-CN"/>
        </w:rPr>
        <w:t>内涵观测点 4.2：</w:t>
      </w:r>
      <w:r>
        <w:rPr>
          <w:rFonts w:ascii="Times New Roman" w:hAnsi="Times New Roman" w:cs="Times New Roman" w:hint="default"/>
          <w:snapToGrid w:val="0"/>
          <w:color w:val="000000"/>
          <w:spacing w:val="0"/>
          <w:w w:val="100"/>
          <w:kern w:val="0"/>
          <w:position w:val="0"/>
          <w:szCs w:val="21"/>
        </w:rPr>
        <w:t>具备人际交往能力和团队协作能力，能在多学科团队中承担一定的组织管理任务。</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b/>
          <w:snapToGrid w:val="0"/>
          <w:color w:val="000000"/>
          <w:spacing w:val="0"/>
          <w:w w:val="100"/>
          <w:kern w:val="0"/>
          <w:position w:val="0"/>
          <w:sz w:val="21"/>
          <w:szCs w:val="21"/>
          <w:lang w:eastAsia="zh-CN"/>
        </w:rPr>
        <w:t>内涵观测点 4.3：</w:t>
      </w:r>
      <w:r>
        <w:rPr>
          <w:rFonts w:ascii="Times New Roman" w:hAnsi="Times New Roman" w:cs="Times New Roman" w:hint="default"/>
          <w:snapToGrid w:val="0"/>
          <w:color w:val="000000"/>
          <w:spacing w:val="0"/>
          <w:w w:val="100"/>
          <w:kern w:val="0"/>
          <w:position w:val="0"/>
          <w:szCs w:val="21"/>
        </w:rPr>
        <w:t>具备终身学习意识，身心健康、崇尚创新，能通过持续学习，快速适应社会发展。</w:t>
      </w:r>
    </w:p>
    <w:p>
      <w:pPr>
        <w:keepNext w:val="0"/>
        <w:keepLines w:val="0"/>
        <w:pageBreakBefore w:val="0"/>
        <w:widowControl w:val="0"/>
        <w:kinsoku/>
        <w:wordWrap/>
        <w:overflowPunct/>
        <w:topLinePunct w:val="0"/>
        <w:autoSpaceDE/>
        <w:autoSpaceDN/>
        <w:bidi w:val="0"/>
        <w:adjustRightInd/>
        <w:snapToGrid/>
        <w:spacing w:before="159" w:beforeLines="50" w:after="159" w:afterLines="50" w:line="360" w:lineRule="auto"/>
        <w:textAlignment w:val="auto"/>
        <w:outlineLvl w:val="2"/>
        <w:rPr>
          <w:rFonts w:ascii="Times New Roman" w:hAnsi="Times New Roman" w:cs="Times New Roman" w:hint="default"/>
          <w:b/>
          <w:bCs w:val="0"/>
          <w:spacing w:val="0"/>
          <w:w w:val="100"/>
          <w:kern w:val="0"/>
          <w:position w:val="0"/>
          <w:sz w:val="24"/>
        </w:rPr>
      </w:pPr>
      <w:r>
        <w:rPr>
          <w:rFonts w:ascii="Times New Roman" w:hAnsi="Times New Roman" w:cs="Times New Roman" w:hint="default"/>
          <w:b/>
          <w:bCs w:val="0"/>
          <w:spacing w:val="0"/>
          <w:w w:val="100"/>
          <w:kern w:val="0"/>
          <w:position w:val="0"/>
          <w:sz w:val="24"/>
        </w:rPr>
        <w:t>三、毕业及学位要求</w:t>
      </w:r>
    </w:p>
    <w:p>
      <w:pPr>
        <w:widowControl/>
        <w:kinsoku w:val="0"/>
        <w:autoSpaceDE w:val="0"/>
        <w:autoSpaceDN w:val="0"/>
        <w:adjustRightInd w:val="0"/>
        <w:snapToGrid w:val="0"/>
        <w:spacing w:line="360" w:lineRule="auto"/>
        <w:ind w:right="74" w:firstLine="420"/>
        <w:jc w:val="left"/>
        <w:textAlignment w:val="baseline"/>
        <w:rPr>
          <w:rFonts w:ascii="Times New Roman" w:eastAsia="宋体" w:hAnsi="Times New Roman" w:cs="Times New Roman" w:hint="default"/>
          <w:snapToGrid w:val="0"/>
          <w:color w:val="000000"/>
          <w:spacing w:val="0"/>
          <w:w w:val="100"/>
          <w:kern w:val="0"/>
          <w:position w:val="0"/>
          <w:szCs w:val="21"/>
          <w:lang w:eastAsia="zh-CN"/>
        </w:rPr>
      </w:pPr>
      <w:r>
        <w:rPr>
          <w:rFonts w:ascii="Times New Roman" w:hAnsi="Times New Roman" w:cs="Times New Roman" w:hint="default"/>
          <w:snapToGrid w:val="0"/>
          <w:color w:val="000000"/>
          <w:spacing w:val="0"/>
          <w:w w:val="100"/>
          <w:kern w:val="0"/>
          <w:position w:val="0"/>
          <w:szCs w:val="21"/>
        </w:rPr>
        <w:t>学制：4年</w:t>
      </w:r>
      <w:r>
        <w:rPr>
          <w:rFonts w:ascii="Times New Roman" w:hAnsi="Times New Roman" w:cs="Times New Roman" w:hint="default"/>
          <w:snapToGrid w:val="0"/>
          <w:color w:val="000000"/>
          <w:spacing w:val="0"/>
          <w:w w:val="100"/>
          <w:kern w:val="0"/>
          <w:position w:val="0"/>
          <w:szCs w:val="21"/>
          <w:lang w:eastAsia="zh-CN"/>
        </w:rPr>
        <w:t>。</w:t>
      </w:r>
    </w:p>
    <w:p>
      <w:pPr>
        <w:widowControl/>
        <w:kinsoku w:val="0"/>
        <w:autoSpaceDE w:val="0"/>
        <w:autoSpaceDN w:val="0"/>
        <w:adjustRightInd w:val="0"/>
        <w:snapToGrid w:val="0"/>
        <w:spacing w:line="360" w:lineRule="auto"/>
        <w:ind w:right="74" w:firstLine="420"/>
        <w:jc w:val="left"/>
        <w:textAlignment w:val="baseline"/>
        <w:rPr>
          <w:rFonts w:ascii="Times New Roman" w:eastAsia="宋体" w:hAnsi="Times New Roman" w:cs="Times New Roman" w:hint="default"/>
          <w:snapToGrid w:val="0"/>
          <w:color w:val="000000"/>
          <w:spacing w:val="0"/>
          <w:w w:val="100"/>
          <w:kern w:val="0"/>
          <w:position w:val="0"/>
          <w:szCs w:val="21"/>
          <w:lang w:eastAsia="zh-CN"/>
        </w:rPr>
      </w:pPr>
      <w:r>
        <w:rPr>
          <w:rFonts w:ascii="Times New Roman" w:hAnsi="Times New Roman" w:cs="Times New Roman" w:hint="default"/>
          <w:snapToGrid w:val="0"/>
          <w:color w:val="000000"/>
          <w:spacing w:val="0"/>
          <w:w w:val="100"/>
          <w:kern w:val="0"/>
          <w:position w:val="0"/>
          <w:szCs w:val="21"/>
        </w:rPr>
        <w:t>修业年限： 3~6年</w:t>
      </w:r>
      <w:r>
        <w:rPr>
          <w:rFonts w:ascii="Times New Roman" w:hAnsi="Times New Roman" w:cs="Times New Roman" w:hint="default"/>
          <w:snapToGrid w:val="0"/>
          <w:color w:val="000000"/>
          <w:spacing w:val="0"/>
          <w:w w:val="100"/>
          <w:kern w:val="0"/>
          <w:position w:val="0"/>
          <w:szCs w:val="21"/>
          <w:lang w:eastAsia="zh-CN"/>
        </w:rPr>
        <w:t>。</w:t>
      </w:r>
    </w:p>
    <w:p>
      <w:pPr>
        <w:widowControl/>
        <w:kinsoku w:val="0"/>
        <w:autoSpaceDE w:val="0"/>
        <w:autoSpaceDN w:val="0"/>
        <w:adjustRightInd w:val="0"/>
        <w:snapToGrid w:val="0"/>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lang w:eastAsia="zh-CN"/>
        </w:rPr>
      </w:pPr>
      <w:r>
        <w:rPr>
          <w:rFonts w:ascii="Times New Roman" w:hAnsi="Times New Roman" w:cs="Times New Roman" w:hint="default"/>
          <w:snapToGrid w:val="0"/>
          <w:color w:val="000000"/>
          <w:spacing w:val="0"/>
          <w:w w:val="100"/>
          <w:kern w:val="0"/>
          <w:position w:val="0"/>
          <w:szCs w:val="21"/>
        </w:rPr>
        <w:t>毕业学分要求：不少于160学分</w:t>
      </w:r>
      <w:r>
        <w:rPr>
          <w:rFonts w:ascii="Times New Roman" w:hAnsi="Times New Roman" w:cs="Times New Roman" w:hint="default"/>
          <w:snapToGrid w:val="0"/>
          <w:color w:val="000000"/>
          <w:spacing w:val="0"/>
          <w:w w:val="100"/>
          <w:kern w:val="0"/>
          <w:position w:val="0"/>
          <w:szCs w:val="21"/>
          <w:lang w:eastAsia="zh-CN"/>
        </w:rPr>
        <w:t>。</w:t>
      </w:r>
    </w:p>
    <w:p>
      <w:pPr>
        <w:widowControl/>
        <w:kinsoku w:val="0"/>
        <w:autoSpaceDE w:val="0"/>
        <w:autoSpaceDN w:val="0"/>
        <w:adjustRightInd w:val="0"/>
        <w:snapToGrid w:val="0"/>
        <w:spacing w:line="360" w:lineRule="auto"/>
        <w:ind w:right="74" w:firstLine="420"/>
        <w:jc w:val="left"/>
        <w:textAlignment w:val="baseline"/>
        <w:rPr>
          <w:rFonts w:ascii="Times New Roman" w:hAnsi="Times New Roman" w:cs="Times New Roman" w:hint="default"/>
          <w:snapToGrid w:val="0"/>
          <w:color w:val="000000"/>
          <w:spacing w:val="0"/>
          <w:w w:val="100"/>
          <w:kern w:val="4"/>
          <w:position w:val="0"/>
          <w:szCs w:val="21"/>
        </w:rPr>
      </w:pPr>
      <w:r>
        <w:rPr>
          <w:rFonts w:ascii="Times New Roman" w:hAnsi="Times New Roman" w:cs="Times New Roman" w:hint="default"/>
          <w:snapToGrid w:val="0"/>
          <w:color w:val="000000"/>
          <w:spacing w:val="0"/>
          <w:w w:val="100"/>
          <w:kern w:val="0"/>
          <w:position w:val="0"/>
          <w:szCs w:val="21"/>
        </w:rPr>
        <w:t>授予学位：符合国家学位规定和山东理工大学学士学位授予条件者，授</w:t>
      </w:r>
      <w:r>
        <w:rPr>
          <w:rFonts w:ascii="Times New Roman" w:hAnsi="Times New Roman" w:cs="Times New Roman" w:hint="default"/>
          <w:snapToGrid w:val="0"/>
          <w:color w:val="000000"/>
          <w:spacing w:val="0"/>
          <w:w w:val="100"/>
          <w:kern w:val="4"/>
          <w:position w:val="0"/>
          <w:szCs w:val="21"/>
        </w:rPr>
        <w:t>予管理学学士学位。</w:t>
      </w:r>
    </w:p>
    <w:p>
      <w:pPr>
        <w:keepNext w:val="0"/>
        <w:keepLines w:val="0"/>
        <w:pageBreakBefore w:val="0"/>
        <w:widowControl w:val="0"/>
        <w:kinsoku/>
        <w:wordWrap/>
        <w:overflowPunct/>
        <w:topLinePunct w:val="0"/>
        <w:autoSpaceDE w:val="0"/>
        <w:autoSpaceDN w:val="0"/>
        <w:bidi w:val="0"/>
        <w:spacing w:before="159" w:beforeLines="50" w:after="159" w:afterLines="50" w:line="360" w:lineRule="auto"/>
        <w:textAlignment w:val="auto"/>
        <w:outlineLvl w:val="2"/>
        <w:rPr>
          <w:rFonts w:ascii="Times New Roman" w:hAnsi="Times New Roman" w:cs="Times New Roman" w:hint="default"/>
          <w:b/>
          <w:spacing w:val="0"/>
          <w:w w:val="100"/>
          <w:kern w:val="4"/>
          <w:position w:val="0"/>
          <w:sz w:val="24"/>
        </w:rPr>
      </w:pPr>
      <w:r>
        <w:rPr>
          <w:rFonts w:ascii="Times New Roman" w:hAnsi="Times New Roman" w:cs="Times New Roman" w:hint="default"/>
          <w:b/>
          <w:spacing w:val="0"/>
          <w:w w:val="100"/>
          <w:kern w:val="4"/>
          <w:position w:val="0"/>
          <w:sz w:val="24"/>
        </w:rPr>
        <w:t>四、课程设置</w:t>
      </w:r>
    </w:p>
    <w:p>
      <w:pPr>
        <w:spacing w:before="159" w:beforeLines="50" w:after="159" w:afterLines="50" w:line="360" w:lineRule="auto"/>
        <w:ind w:firstLine="420" w:firstLineChars="200"/>
        <w:rPr>
          <w:rFonts w:ascii="Times New Roman" w:hAnsi="Times New Roman" w:cs="Times New Roman" w:hint="default"/>
          <w:b/>
          <w:bCs/>
          <w:spacing w:val="0"/>
          <w:w w:val="100"/>
          <w:kern w:val="4"/>
          <w:position w:val="0"/>
        </w:rPr>
      </w:pPr>
      <w:r>
        <w:rPr>
          <w:rFonts w:ascii="Times New Roman" w:hAnsi="Times New Roman" w:cs="Times New Roman" w:hint="default"/>
          <w:b/>
          <w:bCs/>
          <w:spacing w:val="0"/>
          <w:w w:val="100"/>
          <w:kern w:val="4"/>
          <w:position w:val="0"/>
        </w:rPr>
        <w:t>(一) 主干学科</w:t>
      </w:r>
    </w:p>
    <w:p>
      <w:pPr>
        <w:widowControl/>
        <w:kinsoku w:val="0"/>
        <w:autoSpaceDE w:val="0"/>
        <w:autoSpaceDN w:val="0"/>
        <w:adjustRightInd w:val="0"/>
        <w:snapToGrid w:val="0"/>
        <w:spacing w:line="360" w:lineRule="auto"/>
        <w:ind w:right="74" w:firstLine="420"/>
        <w:jc w:val="left"/>
        <w:textAlignment w:val="baseline"/>
        <w:rPr>
          <w:rFonts w:ascii="Times New Roman" w:eastAsia="宋体" w:hAnsi="Times New Roman" w:cs="Times New Roman" w:hint="default"/>
          <w:snapToGrid w:val="0"/>
          <w:color w:val="000000"/>
          <w:spacing w:val="0"/>
          <w:w w:val="100"/>
          <w:kern w:val="4"/>
          <w:position w:val="0"/>
          <w:szCs w:val="21"/>
          <w:lang w:eastAsia="zh-CN"/>
        </w:rPr>
      </w:pPr>
      <w:r>
        <w:rPr>
          <w:rFonts w:ascii="Times New Roman" w:hAnsi="Times New Roman" w:cs="Times New Roman" w:hint="default"/>
          <w:snapToGrid w:val="0"/>
          <w:color w:val="000000"/>
          <w:spacing w:val="0"/>
          <w:w w:val="100"/>
          <w:kern w:val="4"/>
          <w:position w:val="0"/>
          <w:szCs w:val="21"/>
        </w:rPr>
        <w:t>管理科学与工程</w:t>
      </w:r>
    </w:p>
    <w:p>
      <w:pPr>
        <w:spacing w:before="159" w:beforeLines="50" w:after="159" w:afterLines="50" w:line="360" w:lineRule="auto"/>
        <w:ind w:firstLine="420" w:firstLineChars="200"/>
        <w:rPr>
          <w:rFonts w:ascii="Times New Roman" w:hAnsi="Times New Roman" w:cs="Times New Roman" w:hint="default"/>
          <w:b/>
          <w:bCs/>
          <w:spacing w:val="0"/>
          <w:w w:val="100"/>
          <w:kern w:val="4"/>
          <w:position w:val="0"/>
        </w:rPr>
      </w:pPr>
      <w:r>
        <w:rPr>
          <w:rFonts w:ascii="Times New Roman" w:hAnsi="Times New Roman" w:cs="Times New Roman" w:hint="default"/>
          <w:b/>
          <w:bCs/>
          <w:spacing w:val="0"/>
          <w:w w:val="100"/>
          <w:kern w:val="4"/>
          <w:position w:val="0"/>
        </w:rPr>
        <w:t>(二) 核心课程及主要实践性教学环节</w:t>
      </w:r>
    </w:p>
    <w:p>
      <w:pPr>
        <w:spacing w:before="159" w:beforeLines="50" w:after="159" w:afterLines="50"/>
        <w:ind w:firstLine="420" w:firstLineChars="200"/>
        <w:rPr>
          <w:rFonts w:ascii="Times New Roman" w:hAnsi="Times New Roman" w:cs="Times New Roman" w:hint="default"/>
          <w:b/>
          <w:bCs/>
          <w:spacing w:val="0"/>
          <w:w w:val="100"/>
          <w:kern w:val="4"/>
          <w:position w:val="0"/>
        </w:rPr>
      </w:pPr>
      <w:r>
        <w:rPr>
          <w:rFonts w:ascii="Times New Roman" w:hAnsi="Times New Roman" w:cs="Times New Roman" w:hint="default"/>
          <w:b/>
          <w:bCs/>
          <w:spacing w:val="0"/>
          <w:w w:val="100"/>
          <w:kern w:val="4"/>
          <w:position w:val="0"/>
        </w:rPr>
        <w:t>1、核心课程</w:t>
      </w:r>
    </w:p>
    <w:p>
      <w:pPr>
        <w:widowControl/>
        <w:kinsoku w:val="0"/>
        <w:autoSpaceDE w:val="0"/>
        <w:autoSpaceDN w:val="0"/>
        <w:adjustRightInd w:val="0"/>
        <w:snapToGrid w:val="0"/>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 w:val="21"/>
          <w:szCs w:val="21"/>
        </w:rPr>
      </w:pPr>
      <w:r>
        <w:rPr>
          <w:rFonts w:ascii="Times New Roman" w:hAnsi="Times New Roman" w:cs="Times New Roman" w:hint="default"/>
          <w:snapToGrid w:val="0"/>
          <w:color w:val="000000"/>
          <w:spacing w:val="0"/>
          <w:w w:val="100"/>
          <w:kern w:val="0"/>
          <w:position w:val="0"/>
          <w:sz w:val="21"/>
          <w:szCs w:val="21"/>
        </w:rPr>
        <w:t>管理学原理、管理经济学、管理运筹学、系统工程、基础工业工程、人因工程、生产计划与控制、设施规划与物流工程、质量管理、工程统计学、工程经济学、创新方法基础等。</w:t>
      </w:r>
    </w:p>
    <w:p>
      <w:pPr>
        <w:spacing w:before="159" w:beforeLines="50" w:after="159" w:afterLines="50" w:line="360" w:lineRule="auto"/>
        <w:ind w:firstLine="420" w:firstLineChars="200"/>
        <w:rPr>
          <w:rFonts w:ascii="Times New Roman" w:hAnsi="Times New Roman" w:cs="Times New Roman" w:hint="default"/>
          <w:b/>
          <w:bCs/>
          <w:spacing w:val="0"/>
          <w:w w:val="100"/>
          <w:kern w:val="0"/>
          <w:position w:val="0"/>
          <w:sz w:val="21"/>
        </w:rPr>
      </w:pPr>
      <w:r>
        <w:rPr>
          <w:rFonts w:ascii="Times New Roman" w:hAnsi="Times New Roman" w:cs="Times New Roman" w:hint="default"/>
          <w:b/>
          <w:bCs/>
          <w:spacing w:val="0"/>
          <w:w w:val="100"/>
          <w:kern w:val="0"/>
          <w:position w:val="0"/>
          <w:sz w:val="21"/>
        </w:rPr>
        <w:t>2、主要实践性教学环节</w:t>
      </w:r>
    </w:p>
    <w:p>
      <w:pPr>
        <w:widowControl/>
        <w:kinsoku w:val="0"/>
        <w:autoSpaceDE w:val="0"/>
        <w:autoSpaceDN w:val="0"/>
        <w:adjustRightInd w:val="0"/>
        <w:snapToGrid w:val="0"/>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 w:val="21"/>
          <w:szCs w:val="21"/>
        </w:rPr>
      </w:pPr>
      <w:r>
        <w:rPr>
          <w:rFonts w:ascii="Times New Roman" w:hAnsi="Times New Roman" w:cs="Times New Roman" w:hint="default"/>
          <w:snapToGrid w:val="0"/>
          <w:color w:val="000000"/>
          <w:spacing w:val="0"/>
          <w:w w:val="100"/>
          <w:kern w:val="0"/>
          <w:position w:val="0"/>
          <w:sz w:val="21"/>
          <w:szCs w:val="21"/>
        </w:rPr>
        <w:t>入学教育及军训、劳动教育实践、思想政治理论课实践教学、企业管理模拟实习、沙盘模拟实习、工程训练、物流与供应链综合训练、创新创业综合训练、人因工程课程设计、生产计划与控制课程设计、设施规划与物流工程课程设计、大学生暑期社会实践、工业工程专业综合课程设计、专业文献翻译与工业工程进展综述、工业工程专业毕业实习、工业工程专业毕业论文等。</w:t>
      </w:r>
      <w:r>
        <w:br/>
      </w:r>
    </w:p>
    <w:p>
      <w:pPr>
        <w:spacing w:before="159" w:beforeLines="50" w:after="159" w:afterLines="50"/>
        <w:ind w:firstLine="420" w:firstLineChars="200"/>
        <w:rPr>
          <w:rFonts w:ascii="Times New Roman" w:hAnsi="Times New Roman" w:cs="Times New Roman" w:hint="default"/>
          <w:b/>
          <w:bCs/>
          <w:spacing w:val="0"/>
          <w:w w:val="100"/>
          <w:kern w:val="4"/>
          <w:position w:val="0"/>
        </w:rPr>
      </w:pPr>
      <w:r>
        <w:rPr>
          <w:rFonts w:ascii="Times New Roman" w:hAnsi="Times New Roman" w:cs="Times New Roman" w:hint="default"/>
          <w:b/>
          <w:bCs/>
          <w:spacing w:val="0"/>
          <w:w w:val="100"/>
          <w:kern w:val="4"/>
          <w:position w:val="0"/>
        </w:rPr>
        <w:t>(三) 课程学分安排</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663"/>
        <w:gridCol w:w="2181"/>
        <w:gridCol w:w="2819"/>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96"/>
          <w:jc w:val="center"/>
        </w:trPr>
        <w:tc>
          <w:tcPr>
            <w:tcW w:w="2663" w:type="dxa"/>
            <w:vAlign w:val="center"/>
          </w:tcPr>
          <w:p>
            <w:pPr>
              <w:keepNext w:val="0"/>
              <w:keepLines w:val="0"/>
              <w:suppressLineNumbers w:val="0"/>
              <w:autoSpaceDE w:val="0"/>
              <w:autoSpaceDN w:val="0"/>
              <w:spacing w:before="0" w:beforeAutospacing="0" w:after="0" w:afterAutospacing="0" w:line="300" w:lineRule="auto"/>
              <w:ind w:left="0" w:right="0"/>
              <w:jc w:val="center"/>
              <w:rPr>
                <w:rFonts w:asciiTheme="minorEastAsia" w:eastAsiaTheme="minorEastAsia" w:hAnsiTheme="minorEastAsia" w:cstheme="minorEastAsia" w:hint="eastAsia"/>
                <w:color w:val="auto"/>
                <w:sz w:val="21"/>
                <w:szCs w:val="21"/>
                <w:highlight w:val="none"/>
                <w:vertAlign w:val="baseline"/>
                <w:lang w:val="en-US" w:eastAsia="zh-CN"/>
              </w:rPr>
            </w:pPr>
            <w:r>
              <w:rPr>
                <w:rFonts w:asciiTheme="minorEastAsia" w:eastAsiaTheme="minorEastAsia" w:hAnsiTheme="minorEastAsia" w:cstheme="minorEastAsia" w:hint="eastAsia"/>
                <w:b/>
                <w:spacing w:val="0"/>
                <w:w w:val="100"/>
                <w:kern w:val="4"/>
                <w:position w:val="0"/>
                <w:sz w:val="21"/>
                <w:szCs w:val="21"/>
                <w:lang w:val="en-US" w:eastAsia="zh-CN"/>
              </w:rPr>
              <w:t>课程类别</w:t>
            </w:r>
          </w:p>
        </w:tc>
        <w:tc>
          <w:tcPr>
            <w:tcW w:w="2181" w:type="dxa"/>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heme="minorEastAsia" w:eastAsiaTheme="minorEastAsia" w:hAnsiTheme="minorEastAsia" w:cstheme="minorEastAsia" w:hint="eastAsia"/>
                <w:color w:val="auto"/>
                <w:kern w:val="0"/>
                <w:sz w:val="21"/>
                <w:szCs w:val="21"/>
                <w:highlight w:val="none"/>
                <w:lang w:val="en-US" w:eastAsia="zh-CN" w:bidi="ar"/>
              </w:rPr>
            </w:pPr>
            <w:r>
              <w:rPr>
                <w:rFonts w:asciiTheme="minorEastAsia" w:eastAsiaTheme="minorEastAsia" w:hAnsiTheme="minorEastAsia" w:cstheme="minorEastAsia" w:hint="eastAsia"/>
                <w:b/>
                <w:spacing w:val="0"/>
                <w:w w:val="100"/>
                <w:kern w:val="4"/>
                <w:position w:val="0"/>
                <w:sz w:val="21"/>
                <w:szCs w:val="21"/>
                <w:lang w:eastAsia="en-US"/>
              </w:rPr>
              <w:t>应修学分</w:t>
            </w:r>
          </w:p>
        </w:tc>
        <w:tc>
          <w:tcPr>
            <w:tcW w:w="2819" w:type="dxa"/>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heme="minorEastAsia" w:eastAsiaTheme="minorEastAsia" w:hAnsiTheme="minorEastAsia" w:cstheme="minorEastAsia" w:hint="eastAsia"/>
                <w:color w:val="auto"/>
                <w:sz w:val="21"/>
                <w:szCs w:val="21"/>
                <w:highlight w:val="none"/>
                <w:vertAlign w:val="baseline"/>
                <w:lang w:val="en-US" w:eastAsia="zh-CN"/>
              </w:rPr>
            </w:pPr>
            <w:r>
              <w:rPr>
                <w:rFonts w:asciiTheme="minorEastAsia" w:eastAsiaTheme="minorEastAsia" w:hAnsiTheme="minorEastAsia" w:cstheme="minorEastAsia" w:hint="eastAsia"/>
                <w:b/>
                <w:spacing w:val="0"/>
                <w:w w:val="100"/>
                <w:kern w:val="4"/>
                <w:position w:val="0"/>
                <w:sz w:val="21"/>
                <w:szCs w:val="21"/>
                <w:lang w:eastAsia="en-US"/>
              </w:rPr>
              <w:t>学分</w:t>
            </w:r>
            <w:r>
              <w:rPr>
                <w:rFonts w:asciiTheme="minorEastAsia" w:eastAsiaTheme="minorEastAsia" w:hAnsiTheme="minorEastAsia" w:cstheme="minorEastAsia" w:hint="eastAsia"/>
                <w:b/>
                <w:bCs/>
                <w:color w:val="auto"/>
                <w:kern w:val="0"/>
                <w:sz w:val="21"/>
                <w:szCs w:val="21"/>
                <w:highlight w:val="none"/>
                <w:lang w:val="en-US" w:eastAsia="zh-CN" w:bidi="ar"/>
              </w:rPr>
              <w:t>占比</w:t>
            </w:r>
          </w:p>
        </w:tc>
      </w:tr>
      <w:tr>
        <w:tblPrEx>
          <w:tblW w:w="0" w:type="auto"/>
          <w:jc w:val="center"/>
          <w:tblLayout w:type="fixed"/>
          <w:tblCellMar>
            <w:top w:w="0" w:type="dxa"/>
            <w:left w:w="108" w:type="dxa"/>
            <w:bottom w:w="0" w:type="dxa"/>
            <w:right w:w="108" w:type="dxa"/>
          </w:tblCellMar>
        </w:tblPrEx>
        <w:trPr>
          <w:jc w:val="center"/>
        </w:trPr>
        <w:tc>
          <w:tcPr>
            <w:tcW w:w="2663"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heme="minorEastAsia" w:eastAsiaTheme="minorEastAsia" w:hAnsiTheme="minorEastAsia" w:cstheme="minorEastAsia" w:hint="eastAsia"/>
                <w:color w:val="auto"/>
                <w:sz w:val="21"/>
                <w:szCs w:val="21"/>
                <w:highlight w:val="none"/>
                <w:vertAlign w:val="baseline"/>
                <w:lang w:val="en-US" w:eastAsia="zh-CN"/>
              </w:rPr>
            </w:pPr>
            <w:r>
              <w:rPr>
                <w:rFonts w:asciiTheme="minorEastAsia" w:eastAsiaTheme="minorEastAsia" w:hAnsiTheme="minorEastAsia" w:cstheme="minorEastAsia" w:hint="eastAsia"/>
                <w:color w:val="auto"/>
                <w:sz w:val="21"/>
                <w:szCs w:val="21"/>
                <w:highlight w:val="none"/>
                <w:vertAlign w:val="baseline"/>
                <w:lang w:val="en-US" w:eastAsia="zh-CN"/>
              </w:rPr>
              <w:t>通识教育课程模块</w:t>
            </w:r>
          </w:p>
        </w:tc>
        <w:tc>
          <w:tcPr>
            <w:tcW w:w="2181"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imes New Roman" w:eastAsia="仿宋" w:hAnsi="Times New Roman" w:cs="Times New Roman" w:hint="default"/>
                <w:color w:val="auto"/>
                <w:sz w:val="21"/>
                <w:szCs w:val="21"/>
                <w:highlight w:val="none"/>
                <w:vertAlign w:val="baseline"/>
                <w:lang w:val="en-US" w:eastAsia="zh-CN"/>
              </w:rPr>
            </w:pPr>
            <w:r>
              <w:rPr>
                <w:rFonts w:ascii="Times New Roman" w:eastAsia="仿宋" w:hAnsi="Times New Roman" w:cs="Times New Roman" w:hint="default"/>
                <w:color w:val="auto"/>
                <w:sz w:val="21"/>
                <w:szCs w:val="21"/>
                <w:highlight w:val="none"/>
                <w:vertAlign w:val="baseline"/>
                <w:lang w:val="en-US" w:eastAsia="zh-CN"/>
              </w:rPr>
              <w:t>46.5</w:t>
            </w:r>
          </w:p>
        </w:tc>
        <w:tc>
          <w:tcPr>
            <w:tcW w:w="2819"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imes New Roman" w:eastAsia="仿宋" w:hAnsi="Times New Roman" w:cs="Times New Roman" w:hint="default"/>
                <w:color w:val="auto"/>
                <w:sz w:val="21"/>
                <w:szCs w:val="21"/>
                <w:highlight w:val="none"/>
                <w:vertAlign w:val="baseline"/>
                <w:lang w:val="en-US" w:eastAsia="zh-CN"/>
              </w:rPr>
            </w:pPr>
            <w:r>
              <w:rPr>
                <w:rFonts w:ascii="Times New Roman" w:eastAsia="仿宋" w:hAnsi="Times New Roman" w:cs="Times New Roman" w:hint="default"/>
                <w:color w:val="auto"/>
                <w:sz w:val="21"/>
                <w:szCs w:val="21"/>
                <w:highlight w:val="none"/>
                <w:vertAlign w:val="baseline"/>
                <w:lang w:val="en-US" w:eastAsia="zh-CN"/>
              </w:rPr>
              <w:t>29.06</w:t>
            </w:r>
            <w:r>
              <w:rPr>
                <w:rFonts w:ascii="Times New Roman" w:eastAsia="仿宋" w:hAnsi="Times New Roman" w:cs="Times New Roman" w:hint="default"/>
                <w:color w:val="auto"/>
                <w:sz w:val="21"/>
                <w:szCs w:val="21"/>
                <w:highlight w:val="none"/>
                <w:vertAlign w:val="baseline"/>
                <w:lang w:val="en-US" w:eastAsia="zh-CN"/>
              </w:rPr>
              <w:t>%</w:t>
            </w:r>
          </w:p>
        </w:tc>
      </w:tr>
      <w:tr>
        <w:tblPrEx>
          <w:tblW w:w="0" w:type="auto"/>
          <w:jc w:val="center"/>
          <w:tblLayout w:type="fixed"/>
          <w:tblCellMar>
            <w:top w:w="0" w:type="dxa"/>
            <w:left w:w="108" w:type="dxa"/>
            <w:bottom w:w="0" w:type="dxa"/>
            <w:right w:w="108" w:type="dxa"/>
          </w:tblCellMar>
        </w:tblPrEx>
        <w:trPr>
          <w:jc w:val="center"/>
        </w:trPr>
        <w:tc>
          <w:tcPr>
            <w:tcW w:w="2663"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heme="minorEastAsia" w:eastAsiaTheme="minorEastAsia" w:hAnsiTheme="minorEastAsia" w:cstheme="minorEastAsia" w:hint="eastAsia"/>
                <w:color w:val="auto"/>
                <w:sz w:val="21"/>
                <w:szCs w:val="21"/>
                <w:highlight w:val="none"/>
                <w:vertAlign w:val="baseline"/>
                <w:lang w:val="en-US" w:eastAsia="zh-CN"/>
              </w:rPr>
            </w:pPr>
            <w:r>
              <w:rPr>
                <w:rFonts w:asciiTheme="minorEastAsia" w:eastAsiaTheme="minorEastAsia" w:hAnsiTheme="minorEastAsia" w:cstheme="minorEastAsia" w:hint="eastAsia"/>
                <w:color w:val="auto"/>
                <w:sz w:val="21"/>
                <w:szCs w:val="21"/>
                <w:highlight w:val="none"/>
                <w:vertAlign w:val="baseline"/>
                <w:lang w:val="en-US" w:eastAsia="zh-CN"/>
              </w:rPr>
              <w:t>学科基础课程</w:t>
            </w:r>
          </w:p>
        </w:tc>
        <w:tc>
          <w:tcPr>
            <w:tcW w:w="2181"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imes New Roman" w:eastAsia="仿宋" w:hAnsi="Times New Roman" w:cs="Times New Roman" w:hint="default"/>
                <w:color w:val="auto"/>
                <w:sz w:val="21"/>
                <w:szCs w:val="21"/>
                <w:highlight w:val="none"/>
                <w:vertAlign w:val="baseline"/>
                <w:lang w:val="en-US" w:eastAsia="zh-CN"/>
              </w:rPr>
            </w:pPr>
            <w:r>
              <w:rPr>
                <w:rFonts w:ascii="Times New Roman" w:eastAsia="仿宋" w:hAnsi="Times New Roman" w:cs="Times New Roman" w:hint="default"/>
                <w:color w:val="auto"/>
                <w:sz w:val="21"/>
                <w:szCs w:val="21"/>
                <w:highlight w:val="none"/>
                <w:vertAlign w:val="baseline"/>
                <w:lang w:val="en-US" w:eastAsia="zh-CN"/>
              </w:rPr>
              <w:t>29.5</w:t>
            </w:r>
          </w:p>
        </w:tc>
        <w:tc>
          <w:tcPr>
            <w:tcW w:w="2819"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imes New Roman" w:eastAsia="仿宋" w:hAnsi="Times New Roman" w:cs="Times New Roman" w:hint="default"/>
                <w:color w:val="auto"/>
                <w:sz w:val="21"/>
                <w:szCs w:val="21"/>
                <w:highlight w:val="none"/>
                <w:vertAlign w:val="baseline"/>
                <w:lang w:val="en-US" w:eastAsia="zh-CN"/>
              </w:rPr>
            </w:pPr>
            <w:r>
              <w:rPr>
                <w:rFonts w:ascii="Times New Roman" w:eastAsia="仿宋" w:hAnsi="Times New Roman" w:cs="Times New Roman" w:hint="default"/>
                <w:color w:val="auto"/>
                <w:sz w:val="21"/>
                <w:szCs w:val="21"/>
                <w:highlight w:val="none"/>
                <w:vertAlign w:val="baseline"/>
                <w:lang w:val="en-US" w:eastAsia="zh-CN"/>
              </w:rPr>
              <w:t>18.44</w:t>
            </w:r>
            <w:r>
              <w:rPr>
                <w:rFonts w:ascii="Times New Roman" w:eastAsia="仿宋" w:hAnsi="Times New Roman" w:cs="Times New Roman" w:hint="default"/>
                <w:color w:val="auto"/>
                <w:sz w:val="21"/>
                <w:szCs w:val="21"/>
                <w:highlight w:val="none"/>
                <w:vertAlign w:val="baseline"/>
                <w:lang w:val="en-US" w:eastAsia="zh-CN"/>
              </w:rPr>
              <w:t>%</w:t>
            </w:r>
          </w:p>
        </w:tc>
      </w:tr>
      <w:tr>
        <w:tblPrEx>
          <w:tblW w:w="0" w:type="auto"/>
          <w:jc w:val="center"/>
          <w:tblLayout w:type="fixed"/>
          <w:tblCellMar>
            <w:top w:w="0" w:type="dxa"/>
            <w:left w:w="108" w:type="dxa"/>
            <w:bottom w:w="0" w:type="dxa"/>
            <w:right w:w="108" w:type="dxa"/>
          </w:tblCellMar>
        </w:tblPrEx>
        <w:trPr>
          <w:jc w:val="center"/>
        </w:trPr>
        <w:tc>
          <w:tcPr>
            <w:tcW w:w="2663"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heme="minorEastAsia" w:eastAsiaTheme="minorEastAsia" w:hAnsiTheme="minorEastAsia" w:cstheme="minorEastAsia" w:hint="eastAsia"/>
                <w:color w:val="auto"/>
                <w:sz w:val="21"/>
                <w:szCs w:val="21"/>
                <w:highlight w:val="none"/>
                <w:vertAlign w:val="baseline"/>
                <w:lang w:val="en-US" w:eastAsia="zh-CN"/>
              </w:rPr>
            </w:pPr>
            <w:r>
              <w:rPr>
                <w:rFonts w:asciiTheme="minorEastAsia" w:eastAsiaTheme="minorEastAsia" w:hAnsiTheme="minorEastAsia" w:cstheme="minorEastAsia" w:hint="eastAsia"/>
                <w:color w:val="auto"/>
                <w:sz w:val="21"/>
                <w:szCs w:val="21"/>
                <w:highlight w:val="none"/>
                <w:vertAlign w:val="baseline"/>
                <w:lang w:val="en-US" w:eastAsia="zh-CN"/>
              </w:rPr>
              <w:t>专业教育课程模块</w:t>
            </w:r>
          </w:p>
        </w:tc>
        <w:tc>
          <w:tcPr>
            <w:tcW w:w="2181"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imes New Roman" w:eastAsia="仿宋" w:hAnsi="Times New Roman" w:cs="Times New Roman" w:hint="default"/>
                <w:color w:val="auto"/>
                <w:sz w:val="21"/>
                <w:szCs w:val="21"/>
                <w:highlight w:val="none"/>
                <w:vertAlign w:val="baseline"/>
                <w:lang w:val="en-US" w:eastAsia="zh-CN"/>
              </w:rPr>
            </w:pPr>
            <w:r>
              <w:rPr>
                <w:rFonts w:ascii="Times New Roman" w:eastAsia="仿宋" w:hAnsi="Times New Roman" w:cs="Times New Roman" w:hint="default"/>
                <w:color w:val="auto"/>
                <w:sz w:val="21"/>
                <w:szCs w:val="21"/>
                <w:highlight w:val="none"/>
                <w:vertAlign w:val="baseline"/>
                <w:lang w:val="en-US" w:eastAsia="zh-CN"/>
              </w:rPr>
              <w:t>43.5</w:t>
            </w:r>
          </w:p>
        </w:tc>
        <w:tc>
          <w:tcPr>
            <w:tcW w:w="2819"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imes New Roman" w:eastAsia="仿宋" w:hAnsi="Times New Roman" w:cs="Times New Roman" w:hint="default"/>
                <w:color w:val="auto"/>
                <w:sz w:val="21"/>
                <w:szCs w:val="21"/>
                <w:highlight w:val="none"/>
                <w:vertAlign w:val="baseline"/>
                <w:lang w:val="en-US" w:eastAsia="zh-CN"/>
              </w:rPr>
            </w:pPr>
            <w:r>
              <w:rPr>
                <w:rFonts w:ascii="Times New Roman" w:eastAsia="仿宋" w:hAnsi="Times New Roman" w:cs="Times New Roman" w:hint="default"/>
                <w:color w:val="auto"/>
                <w:sz w:val="21"/>
                <w:szCs w:val="21"/>
                <w:highlight w:val="none"/>
                <w:vertAlign w:val="baseline"/>
                <w:lang w:val="en-US" w:eastAsia="zh-CN"/>
              </w:rPr>
              <w:t>27.19</w:t>
            </w:r>
            <w:r>
              <w:rPr>
                <w:rFonts w:ascii="Times New Roman" w:eastAsia="仿宋" w:hAnsi="Times New Roman" w:cs="Times New Roman" w:hint="default"/>
                <w:color w:val="auto"/>
                <w:sz w:val="21"/>
                <w:szCs w:val="21"/>
                <w:highlight w:val="none"/>
                <w:vertAlign w:val="baseline"/>
                <w:lang w:val="en-US" w:eastAsia="zh-CN"/>
              </w:rPr>
              <w:t>%</w:t>
            </w:r>
          </w:p>
        </w:tc>
      </w:tr>
      <w:tr>
        <w:tblPrEx>
          <w:tblW w:w="0" w:type="auto"/>
          <w:jc w:val="center"/>
          <w:tblLayout w:type="fixed"/>
          <w:tblCellMar>
            <w:top w:w="0" w:type="dxa"/>
            <w:left w:w="108" w:type="dxa"/>
            <w:bottom w:w="0" w:type="dxa"/>
            <w:right w:w="108" w:type="dxa"/>
          </w:tblCellMar>
        </w:tblPrEx>
        <w:trPr>
          <w:jc w:val="center"/>
        </w:trPr>
        <w:tc>
          <w:tcPr>
            <w:tcW w:w="2663"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heme="minorEastAsia" w:eastAsiaTheme="minorEastAsia" w:hAnsiTheme="minorEastAsia" w:cstheme="minorEastAsia" w:hint="eastAsia"/>
                <w:color w:val="auto"/>
                <w:sz w:val="21"/>
                <w:szCs w:val="21"/>
                <w:highlight w:val="none"/>
                <w:vertAlign w:val="baseline"/>
                <w:lang w:val="en-US" w:eastAsia="zh-CN"/>
              </w:rPr>
            </w:pPr>
            <w:r>
              <w:rPr>
                <w:rFonts w:asciiTheme="minorEastAsia" w:eastAsiaTheme="minorEastAsia" w:hAnsiTheme="minorEastAsia" w:cstheme="minorEastAsia" w:hint="eastAsia"/>
                <w:color w:val="auto"/>
                <w:sz w:val="21"/>
                <w:szCs w:val="21"/>
                <w:highlight w:val="none"/>
                <w:vertAlign w:val="baseline"/>
                <w:lang w:val="en-US" w:eastAsia="zh-CN"/>
              </w:rPr>
              <w:t>集中实践环节模块</w:t>
            </w:r>
          </w:p>
        </w:tc>
        <w:tc>
          <w:tcPr>
            <w:tcW w:w="2181"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imes New Roman" w:eastAsia="仿宋" w:hAnsi="Times New Roman" w:cs="Times New Roman" w:hint="default"/>
                <w:color w:val="auto"/>
                <w:sz w:val="21"/>
                <w:szCs w:val="21"/>
                <w:highlight w:val="none"/>
                <w:vertAlign w:val="baseline"/>
                <w:lang w:val="en-US" w:eastAsia="zh-CN"/>
              </w:rPr>
            </w:pPr>
            <w:r>
              <w:rPr>
                <w:rFonts w:ascii="Times New Roman" w:eastAsia="仿宋" w:hAnsi="Times New Roman" w:cs="Times New Roman" w:hint="default"/>
                <w:color w:val="auto"/>
                <w:sz w:val="21"/>
                <w:szCs w:val="21"/>
                <w:highlight w:val="none"/>
                <w:vertAlign w:val="baseline"/>
                <w:lang w:val="en-US" w:eastAsia="zh-CN"/>
              </w:rPr>
              <w:t>40.5</w:t>
            </w:r>
          </w:p>
        </w:tc>
        <w:tc>
          <w:tcPr>
            <w:tcW w:w="2819"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imes New Roman" w:eastAsia="仿宋" w:hAnsi="Times New Roman" w:cs="Times New Roman" w:hint="default"/>
                <w:color w:val="auto"/>
                <w:sz w:val="21"/>
                <w:szCs w:val="21"/>
                <w:highlight w:val="none"/>
                <w:vertAlign w:val="baseline"/>
                <w:lang w:val="en-US" w:eastAsia="zh-CN"/>
              </w:rPr>
            </w:pPr>
            <w:r>
              <w:rPr>
                <w:rFonts w:ascii="Times New Roman" w:eastAsia="仿宋" w:hAnsi="Times New Roman" w:cs="Times New Roman" w:hint="default"/>
                <w:color w:val="auto"/>
                <w:sz w:val="21"/>
                <w:szCs w:val="21"/>
                <w:highlight w:val="none"/>
                <w:vertAlign w:val="baseline"/>
                <w:lang w:val="en-US" w:eastAsia="zh-CN"/>
              </w:rPr>
              <w:t>25.31</w:t>
            </w:r>
            <w:r>
              <w:rPr>
                <w:rFonts w:ascii="Times New Roman" w:eastAsia="仿宋" w:hAnsi="Times New Roman" w:cs="Times New Roman" w:hint="default"/>
                <w:color w:val="auto"/>
                <w:sz w:val="21"/>
                <w:szCs w:val="21"/>
                <w:highlight w:val="none"/>
                <w:vertAlign w:val="baseline"/>
                <w:lang w:val="en-US" w:eastAsia="zh-CN"/>
              </w:rPr>
              <w:t>%</w:t>
            </w:r>
          </w:p>
        </w:tc>
      </w:tr>
    </w:tbl>
    <w:p>
      <w:pPr>
        <w:rPr>
          <w:rFonts w:ascii="Times New Roman" w:hAnsi="Times New Roman" w:cs="Times New Roman" w:hint="default"/>
          <w:b/>
          <w:bCs/>
          <w:spacing w:val="0"/>
          <w:w w:val="100"/>
          <w:kern w:val="4"/>
          <w:position w:val="0"/>
        </w:rPr>
      </w:pP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2654"/>
        <w:gridCol w:w="2181"/>
        <w:gridCol w:w="2956"/>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jc w:val="center"/>
        </w:trPr>
        <w:tc>
          <w:tcPr>
            <w:tcW w:w="2654" w:type="dxa"/>
            <w:vAlign w:val="top"/>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firstLine="0" w:leftChars="0" w:firstLineChars="0"/>
              <w:jc w:val="center"/>
              <w:textAlignment w:val="auto"/>
              <w:rPr>
                <w:rFonts w:asciiTheme="minorEastAsia" w:eastAsiaTheme="minorEastAsia" w:hAnsiTheme="minorEastAsia" w:cstheme="minorEastAsia" w:hint="eastAsia"/>
                <w:b/>
                <w:bCs/>
                <w:color w:val="auto"/>
                <w:kern w:val="2"/>
                <w:sz w:val="21"/>
                <w:szCs w:val="21"/>
                <w:highlight w:val="none"/>
                <w:vertAlign w:val="baseline"/>
                <w:lang w:val="en-US" w:eastAsia="zh-CN"/>
              </w:rPr>
            </w:pPr>
            <w:r>
              <w:rPr>
                <w:rFonts w:asciiTheme="minorEastAsia" w:eastAsiaTheme="minorEastAsia" w:hAnsiTheme="minorEastAsia" w:cstheme="minorEastAsia" w:hint="eastAsia"/>
                <w:b/>
                <w:bCs/>
                <w:color w:val="auto"/>
                <w:kern w:val="0"/>
                <w:sz w:val="21"/>
                <w:szCs w:val="21"/>
                <w:highlight w:val="none"/>
                <w:lang w:val="en-US" w:eastAsia="zh-CN" w:bidi="ar"/>
              </w:rPr>
              <w:t>分项统计</w:t>
            </w:r>
          </w:p>
        </w:tc>
        <w:tc>
          <w:tcPr>
            <w:tcW w:w="2181" w:type="dxa"/>
            <w:vAlign w:val="top"/>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firstLine="0" w:leftChars="0" w:firstLineChars="0"/>
              <w:jc w:val="center"/>
              <w:textAlignment w:val="auto"/>
              <w:rPr>
                <w:rFonts w:asciiTheme="minorEastAsia" w:eastAsiaTheme="minorEastAsia" w:hAnsiTheme="minorEastAsia" w:cstheme="minorEastAsia" w:hint="eastAsia"/>
                <w:b/>
                <w:bCs/>
                <w:color w:val="auto"/>
                <w:kern w:val="2"/>
                <w:sz w:val="21"/>
                <w:szCs w:val="21"/>
                <w:highlight w:val="none"/>
                <w:vertAlign w:val="baseline"/>
                <w:lang w:val="en-US" w:eastAsia="zh-CN"/>
              </w:rPr>
            </w:pPr>
            <w:r>
              <w:rPr>
                <w:rFonts w:asciiTheme="minorEastAsia" w:eastAsiaTheme="minorEastAsia" w:hAnsiTheme="minorEastAsia" w:cstheme="minorEastAsia" w:hint="eastAsia"/>
                <w:b/>
                <w:bCs/>
                <w:color w:val="auto"/>
                <w:kern w:val="0"/>
                <w:sz w:val="21"/>
                <w:szCs w:val="21"/>
                <w:highlight w:val="none"/>
                <w:lang w:val="en-US" w:eastAsia="zh-CN" w:bidi="ar"/>
              </w:rPr>
              <w:t>学分</w:t>
            </w:r>
          </w:p>
        </w:tc>
        <w:tc>
          <w:tcPr>
            <w:tcW w:w="2956" w:type="dxa"/>
            <w:vAlign w:val="top"/>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firstLine="0" w:leftChars="0" w:firstLineChars="0"/>
              <w:jc w:val="center"/>
              <w:textAlignment w:val="auto"/>
              <w:rPr>
                <w:rFonts w:asciiTheme="minorEastAsia" w:eastAsiaTheme="minorEastAsia" w:hAnsiTheme="minorEastAsia" w:cstheme="minorEastAsia" w:hint="eastAsia"/>
                <w:b/>
                <w:bCs/>
                <w:color w:val="auto"/>
                <w:kern w:val="0"/>
                <w:sz w:val="21"/>
                <w:szCs w:val="21"/>
                <w:highlight w:val="none"/>
                <w:lang w:val="en-US" w:eastAsia="zh-CN" w:bidi="ar"/>
              </w:rPr>
            </w:pPr>
            <w:r>
              <w:rPr>
                <w:rFonts w:asciiTheme="minorEastAsia" w:eastAsiaTheme="minorEastAsia" w:hAnsiTheme="minorEastAsia" w:cstheme="minorEastAsia" w:hint="eastAsia"/>
                <w:b/>
                <w:bCs/>
                <w:color w:val="auto"/>
                <w:kern w:val="0"/>
                <w:sz w:val="21"/>
                <w:szCs w:val="21"/>
                <w:highlight w:val="none"/>
                <w:lang w:val="en-US" w:eastAsia="zh-CN" w:bidi="ar"/>
              </w:rPr>
              <w:t>学分占比</w:t>
            </w:r>
          </w:p>
        </w:tc>
      </w:tr>
      <w:tr>
        <w:tblPrEx>
          <w:tblW w:w="0" w:type="auto"/>
          <w:jc w:val="center"/>
          <w:tblCellMar>
            <w:top w:w="0" w:type="dxa"/>
            <w:left w:w="108" w:type="dxa"/>
            <w:bottom w:w="0" w:type="dxa"/>
            <w:right w:w="108" w:type="dxa"/>
          </w:tblCellMar>
        </w:tblPrEx>
        <w:trPr>
          <w:jc w:val="center"/>
        </w:trPr>
        <w:tc>
          <w:tcPr>
            <w:tcW w:w="2654" w:type="dxa"/>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heme="minorEastAsia" w:eastAsiaTheme="minorEastAsia" w:hAnsiTheme="minorEastAsia" w:cstheme="minorEastAsia" w:hint="eastAsia"/>
                <w:color w:val="auto"/>
                <w:kern w:val="2"/>
                <w:sz w:val="21"/>
                <w:szCs w:val="21"/>
                <w:highlight w:val="none"/>
                <w:vertAlign w:val="baseline"/>
                <w:lang w:val="en-US" w:eastAsia="zh-CN"/>
              </w:rPr>
            </w:pPr>
            <w:r>
              <w:rPr>
                <w:rFonts w:asciiTheme="minorEastAsia" w:eastAsiaTheme="minorEastAsia" w:hAnsiTheme="minorEastAsia" w:cstheme="minorEastAsia" w:hint="eastAsia"/>
                <w:color w:val="auto"/>
                <w:kern w:val="2"/>
                <w:sz w:val="21"/>
                <w:szCs w:val="21"/>
                <w:highlight w:val="none"/>
                <w:vertAlign w:val="baseline"/>
                <w:lang w:val="en-US" w:eastAsia="zh-CN"/>
              </w:rPr>
              <w:t>应修的实践学分</w:t>
            </w:r>
          </w:p>
        </w:tc>
        <w:tc>
          <w:tcPr>
            <w:tcW w:w="2181" w:type="dxa"/>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imes New Roman" w:hAnsi="Times New Roman" w:eastAsiaTheme="minorEastAsia" w:cs="Times New Roman" w:hint="default"/>
                <w:color w:val="auto"/>
                <w:kern w:val="2"/>
                <w:sz w:val="21"/>
                <w:szCs w:val="21"/>
                <w:highlight w:val="none"/>
                <w:vertAlign w:val="baseline"/>
                <w:lang w:val="en-US" w:eastAsia="zh-CN"/>
              </w:rPr>
            </w:pPr>
            <w:r>
              <w:rPr>
                <w:rFonts w:ascii="Times New Roman" w:hAnsi="Times New Roman" w:eastAsiaTheme="minorEastAsia" w:cs="Times New Roman" w:hint="default"/>
                <w:color w:val="auto"/>
                <w:kern w:val="2"/>
                <w:sz w:val="21"/>
                <w:szCs w:val="21"/>
                <w:highlight w:val="none"/>
                <w:vertAlign w:val="baseline"/>
                <w:lang w:val="en-US" w:eastAsia="zh-CN"/>
              </w:rPr>
              <w:t>43.8</w:t>
            </w:r>
          </w:p>
        </w:tc>
        <w:tc>
          <w:tcPr>
            <w:tcW w:w="2956" w:type="dxa"/>
            <w:vAlign w:val="top"/>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firstLine="0" w:leftChars="0" w:firstLineChars="0"/>
              <w:jc w:val="center"/>
              <w:textAlignment w:val="auto"/>
              <w:rPr>
                <w:rFonts w:ascii="Times New Roman" w:hAnsi="Times New Roman" w:eastAsiaTheme="minorEastAsia" w:cs="Times New Roman" w:hint="default"/>
                <w:color w:val="auto"/>
                <w:kern w:val="2"/>
                <w:sz w:val="21"/>
                <w:szCs w:val="21"/>
                <w:highlight w:val="none"/>
                <w:vertAlign w:val="baseline"/>
                <w:lang w:val="en-US" w:eastAsia="zh-CN"/>
              </w:rPr>
            </w:pPr>
            <w:r>
              <w:rPr>
                <w:rFonts w:ascii="Times New Roman" w:hAnsi="Times New Roman" w:eastAsiaTheme="minorEastAsia" w:cs="Times New Roman" w:hint="default"/>
                <w:color w:val="auto"/>
                <w:kern w:val="2"/>
                <w:sz w:val="21"/>
                <w:szCs w:val="21"/>
                <w:highlight w:val="none"/>
                <w:vertAlign w:val="baseline"/>
                <w:lang w:val="en-US" w:eastAsia="zh-CN"/>
              </w:rPr>
              <w:t>27.38%</w:t>
            </w:r>
          </w:p>
        </w:tc>
      </w:tr>
      <w:tr>
        <w:tblPrEx>
          <w:tblW w:w="0" w:type="auto"/>
          <w:jc w:val="center"/>
          <w:tblCellMar>
            <w:top w:w="0" w:type="dxa"/>
            <w:left w:w="108" w:type="dxa"/>
            <w:bottom w:w="0" w:type="dxa"/>
            <w:right w:w="108" w:type="dxa"/>
          </w:tblCellMar>
        </w:tblPrEx>
        <w:trPr>
          <w:jc w:val="center"/>
        </w:trPr>
        <w:tc>
          <w:tcPr>
            <w:tcW w:w="2654" w:type="dxa"/>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heme="minorEastAsia" w:eastAsiaTheme="minorEastAsia" w:hAnsiTheme="minorEastAsia" w:cstheme="minorEastAsia" w:hint="eastAsia"/>
                <w:color w:val="auto"/>
                <w:kern w:val="2"/>
                <w:sz w:val="21"/>
                <w:szCs w:val="21"/>
                <w:highlight w:val="none"/>
                <w:vertAlign w:val="baseline"/>
                <w:lang w:val="en-US" w:eastAsia="zh-CN"/>
              </w:rPr>
            </w:pPr>
            <w:r>
              <w:rPr>
                <w:rFonts w:asciiTheme="minorEastAsia" w:eastAsiaTheme="minorEastAsia" w:hAnsiTheme="minorEastAsia" w:cstheme="minorEastAsia" w:hint="eastAsia"/>
                <w:color w:val="auto"/>
                <w:kern w:val="2"/>
                <w:sz w:val="21"/>
                <w:szCs w:val="21"/>
                <w:highlight w:val="none"/>
                <w:vertAlign w:val="baseline"/>
                <w:lang w:val="en-US" w:eastAsia="zh-CN"/>
              </w:rPr>
              <w:t>开设的选修课程</w:t>
            </w:r>
          </w:p>
        </w:tc>
        <w:tc>
          <w:tcPr>
            <w:tcW w:w="2181" w:type="dxa"/>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imes New Roman" w:hAnsi="Times New Roman" w:eastAsiaTheme="minorEastAsia" w:cs="Times New Roman" w:hint="default"/>
                <w:color w:val="auto"/>
                <w:kern w:val="2"/>
                <w:sz w:val="21"/>
                <w:szCs w:val="21"/>
                <w:highlight w:val="none"/>
                <w:vertAlign w:val="baseline"/>
                <w:lang w:val="en-US" w:eastAsia="zh-CN"/>
              </w:rPr>
            </w:pPr>
            <w:r>
              <w:rPr>
                <w:rFonts w:ascii="Times New Roman" w:hAnsi="Times New Roman" w:eastAsiaTheme="minorEastAsia" w:cs="Times New Roman" w:hint="default"/>
                <w:color w:val="auto"/>
                <w:kern w:val="2"/>
                <w:sz w:val="21"/>
                <w:szCs w:val="21"/>
                <w:highlight w:val="none"/>
                <w:vertAlign w:val="baseline"/>
                <w:lang w:val="en-US" w:eastAsia="zh-CN"/>
              </w:rPr>
              <w:t>24</w:t>
            </w:r>
          </w:p>
        </w:tc>
        <w:tc>
          <w:tcPr>
            <w:tcW w:w="2956" w:type="dxa"/>
            <w:vAlign w:val="top"/>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firstLine="0" w:leftChars="0" w:firstLineChars="0"/>
              <w:jc w:val="center"/>
              <w:textAlignment w:val="auto"/>
              <w:rPr>
                <w:rFonts w:ascii="Times New Roman" w:hAnsi="Times New Roman" w:eastAsiaTheme="minorEastAsia" w:cs="Times New Roman" w:hint="default"/>
                <w:color w:val="auto"/>
                <w:kern w:val="2"/>
                <w:sz w:val="21"/>
                <w:szCs w:val="21"/>
                <w:highlight w:val="none"/>
                <w:vertAlign w:val="baseline"/>
                <w:lang w:val="en-US" w:eastAsia="zh-CN"/>
              </w:rPr>
            </w:pPr>
            <w:r>
              <w:rPr>
                <w:rFonts w:ascii="Times New Roman" w:hAnsi="Times New Roman" w:eastAsiaTheme="minorEastAsia" w:cs="Times New Roman" w:hint="default"/>
                <w:color w:val="auto"/>
                <w:kern w:val="2"/>
                <w:sz w:val="21"/>
                <w:szCs w:val="21"/>
                <w:highlight w:val="none"/>
                <w:vertAlign w:val="baseline"/>
                <w:lang w:val="en-US" w:eastAsia="zh-CN"/>
              </w:rPr>
              <w:t>15%</w:t>
            </w:r>
          </w:p>
        </w:tc>
      </w:tr>
    </w:tbl>
    <w:p>
      <w:pPr>
        <w:rPr>
          <w:rFonts w:ascii="Times New Roman" w:hAnsi="Times New Roman" w:cs="Times New Roman" w:hint="default"/>
          <w:b/>
          <w:bCs/>
          <w:spacing w:val="0"/>
          <w:w w:val="100"/>
          <w:kern w:val="4"/>
          <w:position w:val="0"/>
        </w:rPr>
      </w:pPr>
    </w:p>
    <w:p>
      <w:pPr>
        <w:keepNext w:val="0"/>
        <w:keepLines w:val="0"/>
        <w:pageBreakBefore w:val="0"/>
        <w:widowControl w:val="0"/>
        <w:kinsoku/>
        <w:wordWrap/>
        <w:overflowPunct/>
        <w:topLinePunct w:val="0"/>
        <w:autoSpaceDE/>
        <w:autoSpaceDN/>
        <w:bidi w:val="0"/>
        <w:adjustRightInd/>
        <w:snapToGrid/>
        <w:spacing w:before="159" w:beforeLines="50" w:after="159" w:afterLines="50" w:line="360" w:lineRule="auto"/>
        <w:ind w:firstLine="420" w:firstLineChars="200"/>
        <w:textAlignment w:val="auto"/>
        <w:rPr>
          <w:rFonts w:ascii="Times New Roman" w:hAnsi="Times New Roman" w:cs="Times New Roman" w:hint="default"/>
          <w:b/>
          <w:bCs/>
          <w:spacing w:val="0"/>
          <w:w w:val="100"/>
          <w:kern w:val="4"/>
          <w:position w:val="0"/>
        </w:rPr>
      </w:pPr>
      <w:r>
        <w:rPr>
          <w:rFonts w:ascii="Times New Roman" w:hAnsi="Times New Roman" w:cs="Times New Roman" w:hint="default"/>
          <w:b/>
          <w:bCs/>
          <w:spacing w:val="0"/>
          <w:w w:val="100"/>
          <w:kern w:val="4"/>
          <w:position w:val="0"/>
        </w:rPr>
        <w:t>(四) 第二课堂</w:t>
      </w:r>
    </w:p>
    <w:p>
      <w:pPr>
        <w:widowControl/>
        <w:kinsoku w:val="0"/>
        <w:autoSpaceDE w:val="0"/>
        <w:autoSpaceDN w:val="0"/>
        <w:adjustRightInd w:val="0"/>
        <w:snapToGrid w:val="0"/>
        <w:spacing w:line="360" w:lineRule="auto"/>
        <w:ind w:right="74" w:firstLine="420"/>
        <w:jc w:val="left"/>
        <w:textAlignment w:val="baseline"/>
        <w:rPr>
          <w:rFonts w:ascii="Times New Roman" w:hAnsi="Times New Roman" w:cs="Times New Roman" w:hint="default"/>
          <w:snapToGrid w:val="0"/>
          <w:color w:val="000000"/>
          <w:spacing w:val="0"/>
          <w:w w:val="100"/>
          <w:kern w:val="4"/>
          <w:position w:val="0"/>
          <w:szCs w:val="21"/>
        </w:rPr>
        <w:sectPr>
          <w:footerReference w:type="default" r:id="rId5"/>
          <w:pgSz w:w="11905" w:h="16838"/>
          <w:pgMar w:top="1417" w:right="1134" w:bottom="1417" w:left="1134" w:header="850" w:footer="850" w:gutter="0"/>
          <w:pgNumType w:fmt="decimal" w:start="1"/>
          <w:cols w:num="1" w:space="0"/>
          <w:rtlGutter w:val="0"/>
          <w:docGrid w:type="linesAndChars" w:linePitch="318" w:charSpace="0"/>
        </w:sectPr>
      </w:pPr>
      <w:r>
        <w:rPr>
          <w:rFonts w:ascii="Times New Roman" w:hAnsi="Times New Roman" w:cs="Times New Roman" w:hint="default"/>
          <w:snapToGrid w:val="0"/>
          <w:color w:val="000000"/>
          <w:spacing w:val="0"/>
          <w:w w:val="100"/>
          <w:kern w:val="4"/>
          <w:position w:val="0"/>
          <w:szCs w:val="21"/>
          <w:lang w:eastAsia="zh-CN"/>
        </w:rPr>
        <w:t>第二课堂活动全方位育人，协同支撑专业毕业要求达成，分模块进行分类记录和管理，不少于8学分，包含三周劳动实践。第二课堂学分不计入总学分。</w:t>
      </w:r>
    </w:p>
    <w:p>
      <w:pPr>
        <w:keepNext w:val="0"/>
        <w:keepLines w:val="0"/>
        <w:pageBreakBefore w:val="0"/>
        <w:widowControl w:val="0"/>
        <w:kinsoku/>
        <w:wordWrap/>
        <w:overflowPunct/>
        <w:topLinePunct w:val="0"/>
        <w:autoSpaceDE w:val="0"/>
        <w:autoSpaceDN w:val="0"/>
        <w:bidi w:val="0"/>
        <w:spacing w:before="156" w:beforeLines="50" w:after="156" w:afterLines="50" w:line="360" w:lineRule="auto"/>
        <w:textAlignment w:val="auto"/>
        <w:outlineLvl w:val="2"/>
        <w:rPr>
          <w:rFonts w:ascii="Times New Roman" w:hAnsi="Times New Roman" w:cs="Times New Roman" w:hint="default"/>
          <w:b/>
          <w:spacing w:val="0"/>
          <w:w w:val="100"/>
          <w:kern w:val="4"/>
          <w:position w:val="0"/>
          <w:sz w:val="24"/>
        </w:rPr>
      </w:pPr>
      <w:r>
        <w:rPr>
          <w:rFonts w:ascii="Times New Roman" w:hAnsi="Times New Roman" w:cs="Times New Roman" w:hint="default"/>
          <w:b/>
          <w:spacing w:val="0"/>
          <w:w w:val="100"/>
          <w:kern w:val="4"/>
          <w:position w:val="0"/>
          <w:sz w:val="24"/>
        </w:rPr>
        <w:t>五、专业课程设置一览表（中英文对照）</w:t>
      </w:r>
    </w:p>
    <w:tbl>
      <w:tblPr>
        <w:tblStyle w:val="TableNormal"/>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ayout w:type="fixed"/>
        <w:tblCellMar>
          <w:top w:w="0" w:type="dxa"/>
          <w:left w:w="0" w:type="dxa"/>
          <w:bottom w:w="0" w:type="dxa"/>
          <w:right w:w="0" w:type="dxa"/>
        </w:tblCellMar>
      </w:tblPr>
      <w:tblGrid>
        <w:gridCol w:w="459"/>
        <w:gridCol w:w="487"/>
        <w:gridCol w:w="1116"/>
        <w:gridCol w:w="883"/>
        <w:gridCol w:w="621"/>
        <w:gridCol w:w="753"/>
        <w:gridCol w:w="751"/>
        <w:gridCol w:w="571"/>
        <w:gridCol w:w="605"/>
        <w:gridCol w:w="531"/>
        <w:gridCol w:w="567"/>
        <w:gridCol w:w="709"/>
        <w:gridCol w:w="524"/>
        <w:gridCol w:w="1007"/>
      </w:tblGrid>
      <w:tr>
        <w:tblPrEx>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ayout w:type="fixed"/>
          <w:tblCellMar>
            <w:top w:w="0" w:type="dxa"/>
            <w:left w:w="0" w:type="dxa"/>
            <w:bottom w:w="0" w:type="dxa"/>
            <w:right w:w="0" w:type="dxa"/>
          </w:tblCellMar>
        </w:tblPrEx>
        <w:trPr>
          <w:trHeight w:val="510"/>
          <w:tblHeader/>
          <w:jc w:val="center"/>
        </w:trPr>
        <w:tc>
          <w:tcPr>
            <w:tcW w:w="946" w:type="dxa"/>
            <w:gridSpan w:val="2"/>
            <w:shd w:val="clear" w:color="auto" w:fill="auto"/>
            <w:vAlign w:val="center"/>
          </w:tcPr>
          <w:p>
            <w:pPr>
              <w:keepNext w:val="0"/>
              <w:keepLines w:val="0"/>
              <w:suppressLineNumbers w:val="0"/>
              <w:adjustRightInd w:val="0"/>
              <w:snapToGrid w:val="0"/>
              <w:spacing w:before="0" w:beforeAutospacing="0" w:after="0" w:afterAutospacing="0" w:line="240" w:lineRule="exact"/>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课程</w:t>
            </w:r>
          </w:p>
          <w:p>
            <w:pPr>
              <w:keepNext w:val="0"/>
              <w:keepLines w:val="0"/>
              <w:suppressLineNumbers w:val="0"/>
              <w:adjustRightInd w:val="0"/>
              <w:snapToGrid w:val="0"/>
              <w:spacing w:before="0" w:beforeAutospacing="0" w:after="0" w:afterAutospacing="0" w:line="240" w:lineRule="exact"/>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类别</w:t>
            </w:r>
          </w:p>
        </w:tc>
        <w:tc>
          <w:tcPr>
            <w:tcW w:w="1116" w:type="dxa"/>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exact"/>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课程</w:t>
            </w:r>
          </w:p>
          <w:p>
            <w:pPr>
              <w:keepNext w:val="0"/>
              <w:keepLines w:val="0"/>
              <w:suppressLineNumbers w:val="0"/>
              <w:adjustRightInd w:val="0"/>
              <w:snapToGrid w:val="0"/>
              <w:spacing w:before="0" w:beforeAutospacing="0" w:after="0" w:afterAutospacing="0" w:line="240" w:lineRule="exact"/>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代码</w:t>
            </w:r>
          </w:p>
        </w:tc>
        <w:tc>
          <w:tcPr>
            <w:tcW w:w="3579" w:type="dxa"/>
            <w:gridSpan w:val="5"/>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exact"/>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课程名称</w:t>
            </w:r>
          </w:p>
        </w:tc>
        <w:tc>
          <w:tcPr>
            <w:tcW w:w="605" w:type="dxa"/>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exact"/>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学分</w:t>
            </w:r>
          </w:p>
        </w:tc>
        <w:tc>
          <w:tcPr>
            <w:tcW w:w="531" w:type="dxa"/>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exact"/>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总</w:t>
            </w:r>
          </w:p>
          <w:p>
            <w:pPr>
              <w:keepNext w:val="0"/>
              <w:keepLines w:val="0"/>
              <w:suppressLineNumbers w:val="0"/>
              <w:adjustRightInd w:val="0"/>
              <w:snapToGrid w:val="0"/>
              <w:spacing w:before="0" w:beforeAutospacing="0" w:after="0" w:afterAutospacing="0" w:line="240" w:lineRule="exact"/>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学时</w:t>
            </w:r>
          </w:p>
        </w:tc>
        <w:tc>
          <w:tcPr>
            <w:tcW w:w="567" w:type="dxa"/>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exact"/>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理论学时</w:t>
            </w:r>
          </w:p>
        </w:tc>
        <w:tc>
          <w:tcPr>
            <w:tcW w:w="709" w:type="dxa"/>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exact"/>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实验实践学时</w:t>
            </w:r>
          </w:p>
        </w:tc>
        <w:tc>
          <w:tcPr>
            <w:tcW w:w="524" w:type="dxa"/>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exact"/>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开课</w:t>
            </w:r>
          </w:p>
          <w:p>
            <w:pPr>
              <w:keepNext w:val="0"/>
              <w:keepLines w:val="0"/>
              <w:suppressLineNumbers w:val="0"/>
              <w:adjustRightInd w:val="0"/>
              <w:snapToGrid w:val="0"/>
              <w:spacing w:before="0" w:beforeAutospacing="0" w:after="0" w:afterAutospacing="0" w:line="240" w:lineRule="exact"/>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学期</w:t>
            </w:r>
          </w:p>
        </w:tc>
        <w:tc>
          <w:tcPr>
            <w:tcW w:w="1007" w:type="dxa"/>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exact"/>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备注</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val="restart"/>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val="restart"/>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思想政治课程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231811001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思想道德与法治</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Ideology, Morality, and Rule of Law</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40</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40</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思想政治课程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231811003</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形势与政策Ⅰ</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Situation and Policy I</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0.5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思想政治课程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211811004</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中国近现代史纲要</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Outline of Modern Chinese History</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40</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40</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思想政治课程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231811002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马克思主义基本原理</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Basic Principles of Marxism</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思想政治课程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211811008</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习近平新时代中国特色社会主义思想概论</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Xi Jinping's Introduction to Socialism with Chinese Characteristics in the New Era</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40</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40</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思想政治课程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211811009</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毛泽东思想和中国特色社会主义理论体系概论</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Mao Zedong Thought &amp; Outline of Theory of Socialism With Chinese Characteristics</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思想政治课程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231811004</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形势与政策Ⅱ</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Situation and Policy II</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0.5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思想政治课程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231811005</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形势与政策Ⅲ</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Situation and Policy III</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0.5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思想政治课程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231811006</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形势与政策Ⅳ</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Situation and Policy IV</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0.5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7</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思想政治课程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211812001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中国共产党史</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History of the Communist Party of China</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四选一</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思想政治课程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211812002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中华人民共和国史</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History of the People's Republic of China</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四选一</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思想政治课程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211812003</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改革开放史</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History of Reform and Opening Up</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四选一</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思想政治课程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211812004</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社会主义发展史</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History of Socialist Development</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四选一</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val="restart"/>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军体课程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213111001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军事理论</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Military Theory</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军体课程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232111001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体育Ⅰ</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Physical Education Ⅰ</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24</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军体课程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232111002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体育Ⅱ</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Physical Education Ⅱ</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24</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军体课程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232111005</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体育Ⅴ</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Physical Education Ⅴ</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0.25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军体课程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232111006</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体育Ⅵ</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Physical Education Ⅵ</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0.25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7</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军体课程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232111003</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体育Ⅲ</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Physical Education Ⅲ</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选修运动项目2学分</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军体课程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232111004</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体育Ⅳ</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Physical Education Ⅳ</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选修运动项目2学分</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val="restart"/>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外语课程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211611005</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大学英语听说Ⅰ</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College English Listening and SpeakingⅠ</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外语课程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251611001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大学英语读写Ⅰ</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College English Reading and WritingⅠ</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外语课程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211611006</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大学英语听说Ⅱ</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College English Listening and SpeakingⅡ</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外语课程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251611002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大学英语读写Ⅱ</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College English Reading and Writing II</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外语课程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251611004</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新文科大学英语Ⅰ</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College English for New Liberal Arts Ⅰ</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外语课程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251611006</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新文科大学英语Ⅱ</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College English for New Liberal Arts Ⅱ</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val="restart"/>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信息课程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250518004</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计算思维与人工智能导论(C)</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Computational Thinking and Introduction to  Artificial Intelligence(C)</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信息课程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230518008</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Python程序设计(B)</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Python programmin(B)</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28</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24</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信息课程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252718001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信息检索与数智素养</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Information Retrieval and Digital-Intelligent Literacy</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val="restart"/>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通识教育选修课程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238112001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大学生心理健康教育</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Psychological Health Education for College Students</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通识教育选修课程至少10.5学分，其中美育类课程至少2学分、科学技术类课程至少2学分。</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通识教育选修课程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211811011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大学生国家安全教育</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National Security Education for College Students</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通识教育选修课程至少10.5学分，其中美育类课程至少2学分、科学技术类课程至少2学分。</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通识教育选修课程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232612001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中国传统文化</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Traditional Chinese Culture</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通识教育选修课程至少10.5学分，其中美育类课程至少2学分、科学技术类课程至少2学分。</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通识教育选修课程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232612002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大学生劳动教育</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Labor Education for University Students</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0.5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通识教育选修课程至少10.5学分，其中美育类课程至少2学分、科学技术类课程至少2学分。</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通识教育选修课程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258322001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大学生职业生涯规划与就业指导I</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Career Planning and Employment Guidance for College StudentsI</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0.25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通识教育选修课程至少10.5学分，其中美育类课程至少2学分、科学技术类课程至少2学分。</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通识教育选修课程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X1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美育限选课(学生自选)</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通识教育选修课程至少10.5学分，其中美育类课程至少2学分、科学技术类课程至少2学分。</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通识教育选修课程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X2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科学技术类(学生自选)</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通识教育选修课程至少10.5学分，其中美育类课程至少2学分、科学技术类课程至少2学分。</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通识教育选修课程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258322002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大学生职业生涯规划与就业指导II</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Career Planning and Employment Guidance for College StudentsII</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0.25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通识教育选修课程至少10.5学分，其中美育类课程至少2学分、科学技术类课程至少2学分。</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通识教育选修课程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X8</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其他公选类</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通识教育选修课程至少10.5学分，其中美育类课程至少2学分、科学技术类课程至少2学分。</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通识教育选修课程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258322003</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大学生职业生涯规划与就业指导III</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Career Planning and Employment Guidance for College StudentsIII</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0.25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通识教育选修课程至少10.5学分，其中美育类课程至少2学分、科学技术类课程至少2学分。</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通识教育选修课程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238322004</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大学生职业生涯规划与就业指导IV</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Career Planning and Employment Guidance for College StudentsIV</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0.25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7</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通识教育选修课程至少10.5学分，其中美育类课程至少2学分、科学技术类课程至少2学分。</w:t>
            </w:r>
          </w:p>
        </w:tc>
      </w:tr>
      <w:tr>
        <w:tblPrEx>
          <w:tblW w:w="9584" w:type="dxa"/>
          <w:jc w:val="center"/>
          <w:shd w:val="clear" w:color="auto" w:fill="auto"/>
          <w:tblLayout w:type="fixed"/>
          <w:tblCellMar>
            <w:top w:w="0" w:type="dxa"/>
            <w:left w:w="0" w:type="dxa"/>
            <w:bottom w:w="0" w:type="dxa"/>
            <w:right w:w="0" w:type="dxa"/>
          </w:tblCellMar>
        </w:tblPrEx>
        <w:trPr>
          <w:trHeight w:val="567"/>
          <w:jc w:val="center"/>
        </w:trPr>
        <w:tc>
          <w:tcPr>
            <w:tcW w:w="2062" w:type="dxa"/>
            <w:gridSpan w:val="3"/>
            <w:shd w:val="clear" w:color="auto" w:fill="auto"/>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应修学分</w:t>
            </w:r>
          </w:p>
        </w:tc>
        <w:tc>
          <w:tcPr>
            <w:tcW w:w="1504"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46.5</w:t>
            </w:r>
          </w:p>
        </w:tc>
        <w:tc>
          <w:tcPr>
            <w:tcW w:w="1504"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必修学分</w:t>
            </w:r>
          </w:p>
        </w:tc>
        <w:tc>
          <w:tcPr>
            <w:tcW w:w="1707" w:type="dxa"/>
            <w:gridSpan w:val="3"/>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28.5</w:t>
            </w:r>
          </w:p>
        </w:tc>
        <w:tc>
          <w:tcPr>
            <w:tcW w:w="1276"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选修学分</w:t>
            </w:r>
          </w:p>
        </w:tc>
        <w:tc>
          <w:tcPr>
            <w:tcW w:w="1531"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18</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val="restart"/>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学科基础课程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211118901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高等数学(A)Ⅰ</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Advanced Mathematics (A)Ⅰ</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80</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80</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学科基础课程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211418019</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管理学原理</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Principles of Management</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学科基础课程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211118902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高等数学(A)Ⅱ</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Advanced Mathematics (A)Ⅱ</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80</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80</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学科基础课程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211118910</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线性代数(B)</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Linear Algebra (B)</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40</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40</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学科基础课程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251411021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管理经济学</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Managerial economics</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学科基础课程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211118913</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概率论与数理统计(D)</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Probability Theory and Mathematical Statistics (D)</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学科基础课程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211418024</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会计学原理</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Fundamentals of Accounting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学科基础课程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251411012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管理运筹学(A)</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Managerial Operations Research (A)</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64</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64</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学科基础课程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211418158</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管理信息系统(B)</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Management Information System (B)</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67"/>
          <w:jc w:val="center"/>
        </w:trPr>
        <w:tc>
          <w:tcPr>
            <w:tcW w:w="2062" w:type="dxa"/>
            <w:gridSpan w:val="3"/>
            <w:shd w:val="clear" w:color="auto" w:fill="auto"/>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应修学分</w:t>
            </w:r>
          </w:p>
        </w:tc>
        <w:tc>
          <w:tcPr>
            <w:tcW w:w="1504"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29.5</w:t>
            </w:r>
          </w:p>
        </w:tc>
        <w:tc>
          <w:tcPr>
            <w:tcW w:w="1504"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必修学分</w:t>
            </w:r>
          </w:p>
        </w:tc>
        <w:tc>
          <w:tcPr>
            <w:tcW w:w="1707" w:type="dxa"/>
            <w:gridSpan w:val="3"/>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29.5</w:t>
            </w:r>
          </w:p>
        </w:tc>
        <w:tc>
          <w:tcPr>
            <w:tcW w:w="1276"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选修学分</w:t>
            </w:r>
          </w:p>
        </w:tc>
        <w:tc>
          <w:tcPr>
            <w:tcW w:w="1531"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0</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val="restart"/>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val="restart"/>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专业必修课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237412001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创新方法基础</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Fundamentals of Innovation Methods</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0.5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专业必修课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251411002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工业工程专业导论</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Introduction to Industrial Engineer</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专业必修课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210118912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机械制造技术基础(B)</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Basic Mechanical Manufacturing（B）</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专业必修课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237412002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大学生创业基础</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Fundamentals of Entrepreneurship for College Students</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0.5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专业必修课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250311905</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计算机绘图CAD</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Computer - Aided Drawing  CAD</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40</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40</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专业必修课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251411013</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基础工业工程</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Fundamental Industrial Engineering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40</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专业必修课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211418080</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工程统计学</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Engineering Statistics</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专业必修课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231418052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系统工程</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Systems engineering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专业必修课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251411014</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人因工程</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Human Factors Engineering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40</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专业必修课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211418291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工程经济学</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Engineering Economics</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专业必修课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251411015</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生产计划与控制</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Production Planning and Control</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专业必修课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251411016</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设施规划与物流工程</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Facilities Planning and Logistics Engineering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专业必修课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211418305</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质量管理</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Quality Management</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专业必修课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251411027</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供应链管理</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Supply Chain Management</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w:t>
            </w:r>
          </w:p>
        </w:tc>
        <w:tc>
          <w:tcPr>
            <w:tcW w:w="100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专业必修课</w:t>
            </w:r>
          </w:p>
        </w:tc>
        <w:tc>
          <w:tcPr>
            <w:tcW w:w="1116" w:type="dxa"/>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必修学分</w:t>
            </w:r>
          </w:p>
        </w:tc>
        <w:tc>
          <w:tcPr>
            <w:tcW w:w="7522" w:type="dxa"/>
            <w:gridSpan w:val="11"/>
            <w:shd w:val="clear" w:color="auto" w:fill="auto"/>
            <w:tcMar>
              <w:top w:w="15" w:type="dxa"/>
              <w:left w:w="15" w:type="dxa"/>
              <w:bottom w:w="0"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31.5</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val="restart"/>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专业选修I</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211418067</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智能决策理论与方法</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Theory and method of intelligent decision making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专业选修I</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211418176</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数据可视化</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Data Visualization</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专业选修I</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211418177</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物联网与云计算</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IoT and Cloud Computing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专业选修I</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231418111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ERP原理与应用</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ERP Theory and Application</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专业选修I</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231418316</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国际市场营销</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International Marketing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专业选修I</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211418011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财务管理</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Financial Management</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专业选修I</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211418064</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项目管理</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Project Management</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专业选修I</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211418070</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精益生产</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Lean Production</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专业选修I</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211418079</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可靠性工程</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reliability engineering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专业选修I</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211418278</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服务运作管理</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Service operation management</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专业选修I</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211418009</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人力资源管理</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Human Resource Management</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7</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专业选修I</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251411019</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智能制造导论</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Introduction to Intelligent Manufacturing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7</w:t>
            </w:r>
          </w:p>
        </w:tc>
        <w:tc>
          <w:tcPr>
            <w:tcW w:w="100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专业选修I</w:t>
            </w:r>
          </w:p>
        </w:tc>
        <w:tc>
          <w:tcPr>
            <w:tcW w:w="1116" w:type="dxa"/>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选修学分</w:t>
            </w:r>
          </w:p>
        </w:tc>
        <w:tc>
          <w:tcPr>
            <w:tcW w:w="7522" w:type="dxa"/>
            <w:gridSpan w:val="11"/>
            <w:shd w:val="clear" w:color="auto" w:fill="auto"/>
            <w:tcMar>
              <w:top w:w="15" w:type="dxa"/>
              <w:left w:w="15" w:type="dxa"/>
              <w:bottom w:w="0"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12</w:t>
            </w:r>
          </w:p>
        </w:tc>
      </w:tr>
      <w:tr>
        <w:tblPrEx>
          <w:tblW w:w="9584" w:type="dxa"/>
          <w:jc w:val="center"/>
          <w:shd w:val="clear" w:color="auto" w:fill="auto"/>
          <w:tblLayout w:type="fixed"/>
          <w:tblCellMar>
            <w:top w:w="0" w:type="dxa"/>
            <w:left w:w="0" w:type="dxa"/>
            <w:bottom w:w="0" w:type="dxa"/>
            <w:right w:w="0" w:type="dxa"/>
          </w:tblCellMar>
        </w:tblPrEx>
        <w:trPr>
          <w:trHeight w:val="567"/>
          <w:jc w:val="center"/>
        </w:trPr>
        <w:tc>
          <w:tcPr>
            <w:tcW w:w="2062" w:type="dxa"/>
            <w:gridSpan w:val="3"/>
            <w:shd w:val="clear" w:color="auto" w:fill="auto"/>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应修学分</w:t>
            </w:r>
          </w:p>
        </w:tc>
        <w:tc>
          <w:tcPr>
            <w:tcW w:w="1504"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43.5</w:t>
            </w:r>
          </w:p>
        </w:tc>
        <w:tc>
          <w:tcPr>
            <w:tcW w:w="1504"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必修学分</w:t>
            </w:r>
          </w:p>
        </w:tc>
        <w:tc>
          <w:tcPr>
            <w:tcW w:w="1707" w:type="dxa"/>
            <w:gridSpan w:val="3"/>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31.5</w:t>
            </w:r>
          </w:p>
        </w:tc>
        <w:tc>
          <w:tcPr>
            <w:tcW w:w="1276"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选修学分</w:t>
            </w:r>
          </w:p>
        </w:tc>
        <w:tc>
          <w:tcPr>
            <w:tcW w:w="1531"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12</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val="restart"/>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集中实践环节模块</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213124001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入学教育及军训</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Entrance Orientation &amp; Military Training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3.0周</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3.0周</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工程训练A-C开课学期3或4；DI开课学期1或2，DII开课学期3或4</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集中实践环节模块</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233114001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劳动教育实践</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Labor Education Practice</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0.5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1.0周</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1.0周</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工程训练A-C开课学期3或4；DI开课学期1或2，DII开课学期3或4</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集中实践环节模块</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211414101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企业管理模拟实习</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Simulated Practice of Business Management</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1.0周</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1.0周</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工程训练A-C开课学期3或4；DI开课学期1或2，DII开课学期3或4</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集中实践环节模块</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211414105</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人因工程课程设计</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CourseExerciseof Human Factor Engineering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2.0周</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2.0周</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工程训练A-C开课学期3或4；DI开课学期1或2，DII开课学期3或4</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集中实践环节模块</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211814010</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思想政治理论课实践教学</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The Practice of Ideological and Political Theory Course Teaching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2.5周</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2.5周</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工程训练A-C开课学期3或4；DI开课学期1或2，DII开课学期3或4</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集中实践环节模块</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212814003</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工程训练(C)</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Engineering training (C)</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1.0周</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1.0周</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工程训练A-C开课学期3或4；DI开课学期1或2，DII开课学期3或4</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集中实践环节模块</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251411020</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大学生暑期社会实践</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Summer Social Practice of College Students</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2.0周</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2.0周</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工程训练A-C开课学期3或4；DI开课学期1或2，DII开课学期3或4</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集中实践环节模块</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211414002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生产计划与控制课程设计</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Course design of production planning and control</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2.0周</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2.0周</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工程训练A-C开课学期3或4；DI开课学期1或2，DII开课学期3或4</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集中实践环节模块</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211414164</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沙盘模拟实习(B)</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Sand Table Exercise (B)</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1.0周</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1.0周</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工程训练A-C开课学期3或4；DI开课学期1或2，DII开课学期3或4</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集中实践环节模块</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251411022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设施规划与物流工程课程设计</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Course Design of Facilities Planning and Logistics Engineering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2.0周</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2.0周</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工程训练A-C开课学期3或4；DI开课学期1或2，DII开课学期3或4</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集中实践环节模块</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211414003</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物流与供应链综合训练</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ComprehensiveTraining of Logistics and Supply</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1.0周</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1.0周</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工程训练A-C开课学期3或4；DI开课学期1或2，DII开课学期3或4</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集中实践环节模块</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211414007</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创新创业综合训练</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Comprehensive Training of Innovation and Entrepreneurship</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2.0周</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2.0周</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工程训练A-C开课学期3或4；DI开课学期1或2，DII开课学期3或4</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集中实践环节模块</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211414108</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工业工程专业综合课程设计</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Comprehensive curriculum design of Industrial Engineering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3.0周</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3.0周</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工程训练A-C开课学期3或4；DI开课学期1或2，DII开课学期3或4</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集中实践环节模块</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211414107</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专业文献翻译与工业工程进展综述</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Review of Professional Literature Translation and Progress in Industrial Engineering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3.0周</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3.0周</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7</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工程训练A-C开课学期3或4；DI开课学期1或2，DII开课学期3或4</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集中实践环节模块</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211414010</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工业工程专业毕业论文</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Graduation Thesis of Industrial Engineering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14.0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14.0周</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14.0周</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工程训练A-C开课学期3或4；DI开课学期1或2，DII开课学期3或4</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集中实践环节模块</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211414109</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工业工程专业毕业实习</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Graduation Practice of Industrial Engineering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2.0周</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2.0周</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工程训练A-C开课学期3或4；DI开课学期1或2，DII开课学期3或4</w:t>
            </w:r>
          </w:p>
        </w:tc>
      </w:tr>
      <w:tr>
        <w:tblPrEx>
          <w:tblW w:w="9584" w:type="dxa"/>
          <w:jc w:val="center"/>
          <w:shd w:val="clear" w:color="auto" w:fill="auto"/>
          <w:tblLayout w:type="fixed"/>
          <w:tblCellMar>
            <w:top w:w="0" w:type="dxa"/>
            <w:left w:w="0" w:type="dxa"/>
            <w:bottom w:w="0" w:type="dxa"/>
            <w:right w:w="0" w:type="dxa"/>
          </w:tblCellMar>
        </w:tblPrEx>
        <w:trPr>
          <w:trHeight w:val="567"/>
          <w:jc w:val="center"/>
        </w:trPr>
        <w:tc>
          <w:tcPr>
            <w:tcW w:w="2062" w:type="dxa"/>
            <w:gridSpan w:val="3"/>
            <w:shd w:val="clear" w:color="auto" w:fill="auto"/>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应修学分</w:t>
            </w:r>
          </w:p>
        </w:tc>
        <w:tc>
          <w:tcPr>
            <w:tcW w:w="1504"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40.5</w:t>
            </w:r>
          </w:p>
        </w:tc>
        <w:tc>
          <w:tcPr>
            <w:tcW w:w="1504"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必修学分</w:t>
            </w:r>
          </w:p>
        </w:tc>
        <w:tc>
          <w:tcPr>
            <w:tcW w:w="1707" w:type="dxa"/>
            <w:gridSpan w:val="3"/>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40.5</w:t>
            </w:r>
          </w:p>
        </w:tc>
        <w:tc>
          <w:tcPr>
            <w:tcW w:w="1276"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选修学分</w:t>
            </w:r>
          </w:p>
        </w:tc>
        <w:tc>
          <w:tcPr>
            <w:tcW w:w="1531"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0</w:t>
            </w:r>
          </w:p>
        </w:tc>
      </w:tr>
      <w:tr>
        <w:tblPrEx>
          <w:tblW w:w="9584" w:type="dxa"/>
          <w:jc w:val="center"/>
          <w:shd w:val="clear" w:color="auto" w:fill="auto"/>
          <w:tblLayout w:type="fixed"/>
          <w:tblCellMar>
            <w:top w:w="0" w:type="dxa"/>
            <w:left w:w="0" w:type="dxa"/>
            <w:bottom w:w="0" w:type="dxa"/>
            <w:right w:w="0" w:type="dxa"/>
          </w:tblCellMar>
        </w:tblPrEx>
        <w:trPr>
          <w:trHeight w:val="567"/>
          <w:jc w:val="center"/>
        </w:trPr>
        <w:tc>
          <w:tcPr>
            <w:tcW w:w="2062" w:type="dxa"/>
            <w:gridSpan w:val="3"/>
            <w:shd w:val="clear" w:color="auto" w:fill="auto"/>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应修学分总计</w:t>
            </w:r>
          </w:p>
        </w:tc>
        <w:tc>
          <w:tcPr>
            <w:tcW w:w="1504"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160</w:t>
            </w:r>
          </w:p>
        </w:tc>
        <w:tc>
          <w:tcPr>
            <w:tcW w:w="1504"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必修学分</w:t>
            </w:r>
          </w:p>
        </w:tc>
        <w:tc>
          <w:tcPr>
            <w:tcW w:w="1707" w:type="dxa"/>
            <w:gridSpan w:val="3"/>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130</w:t>
            </w:r>
          </w:p>
        </w:tc>
        <w:tc>
          <w:tcPr>
            <w:tcW w:w="1276"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选修学分</w:t>
            </w:r>
          </w:p>
        </w:tc>
        <w:tc>
          <w:tcPr>
            <w:tcW w:w="1531"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30</w:t>
            </w:r>
          </w:p>
        </w:tc>
      </w:tr>
      <w:tr>
        <w:tblPrEx>
          <w:tblW w:w="9584" w:type="dxa"/>
          <w:jc w:val="center"/>
          <w:shd w:val="clear" w:color="auto" w:fill="auto"/>
          <w:tblLayout w:type="fixed"/>
          <w:tblCellMar>
            <w:top w:w="0" w:type="dxa"/>
            <w:left w:w="0" w:type="dxa"/>
            <w:bottom w:w="0" w:type="dxa"/>
            <w:right w:w="0" w:type="dxa"/>
          </w:tblCellMar>
        </w:tblPrEx>
        <w:trPr>
          <w:trHeight w:val="567"/>
          <w:jc w:val="center"/>
        </w:trPr>
        <w:tc>
          <w:tcPr>
            <w:tcW w:w="946" w:type="dxa"/>
            <w:gridSpan w:val="2"/>
            <w:shd w:val="clear" w:color="auto" w:fill="auto"/>
            <w:vAlign w:val="center"/>
          </w:tcPr>
          <w:p>
            <w:pPr>
              <w:keepNext w:val="0"/>
              <w:keepLines w:val="0"/>
              <w:suppressLineNumbers w:val="0"/>
              <w:adjustRightInd w:val="0"/>
              <w:snapToGrid w:val="0"/>
              <w:spacing w:before="3" w:beforeLines="1" w:beforeAutospacing="0" w:after="3" w:afterLines="1" w:afterAutospacing="0" w:line="240" w:lineRule="auto"/>
              <w:ind w:left="0" w:right="0"/>
              <w:jc w:val="center"/>
              <w:rPr>
                <w:rFonts w:ascii="Times New Roman" w:hAnsi="Times New Roman" w:cs="Times New Roman" w:hint="default"/>
                <w:b/>
                <w:bCs/>
                <w:color w:val="000000" w:themeColor="text1"/>
                <w:spacing w:val="0"/>
                <w:w w:val="100"/>
                <w:kern w:val="4"/>
                <w:position w:val="0"/>
                <w:sz w:val="24"/>
              </w:rPr>
            </w:pPr>
            <w:r>
              <w:rPr>
                <w:rFonts w:ascii="Times New Roman" w:hAnsi="Times New Roman" w:cs="Times New Roman" w:hint="default"/>
                <w:b/>
                <w:bCs/>
                <w:color w:val="000000" w:themeColor="text1"/>
                <w:spacing w:val="0"/>
                <w:w w:val="100"/>
                <w:kern w:val="4"/>
                <w:position w:val="0"/>
                <w:sz w:val="24"/>
              </w:rPr>
              <w:t>制定</w:t>
            </w:r>
          </w:p>
        </w:tc>
        <w:tc>
          <w:tcPr>
            <w:tcW w:w="1999" w:type="dxa"/>
            <w:gridSpan w:val="2"/>
            <w:shd w:val="clear" w:color="auto" w:fill="auto"/>
            <w:vAlign w:val="center"/>
          </w:tcPr>
          <w:p>
            <w:pPr>
              <w:keepNext w:val="0"/>
              <w:keepLines w:val="0"/>
              <w:suppressLineNumbers w:val="0"/>
              <w:adjustRightInd w:val="0"/>
              <w:snapToGrid w:val="0"/>
              <w:spacing w:before="3" w:beforeLines="1" w:beforeAutospacing="0" w:after="3" w:afterLines="1" w:afterAutospacing="0" w:line="240" w:lineRule="auto"/>
              <w:ind w:left="0" w:right="0"/>
              <w:jc w:val="center"/>
              <w:rPr>
                <w:rFonts w:ascii="Times New Roman" w:eastAsia="宋体" w:hAnsi="Times New Roman" w:cs="Times New Roman" w:hint="eastAsia"/>
                <w:color w:val="000000" w:themeColor="text1"/>
                <w:spacing w:val="0"/>
                <w:w w:val="100"/>
                <w:kern w:val="4"/>
                <w:position w:val="0"/>
                <w:sz w:val="24"/>
                <w:lang w:eastAsia="zh-CN"/>
              </w:rPr>
            </w:pPr>
            <w:r>
              <w:rPr>
                <w:rFonts w:ascii="Times New Roman" w:eastAsia="宋体" w:hAnsi="Times New Roman" w:cs="Times New Roman" w:hint="eastAsia"/>
                <w:b/>
                <w:bCs/>
                <w:color w:val="000000" w:themeColor="text1"/>
                <w:spacing w:val="0"/>
                <w:w w:val="100"/>
                <w:kern w:val="4"/>
                <w:position w:val="0"/>
                <w:sz w:val="24"/>
                <w:lang w:eastAsia="zh-CN"/>
              </w:rPr>
              <w:drawing>
                <wp:inline distT="0" distB="0" distL="114300" distR="114300">
                  <wp:extent cx="831215" cy="353695"/>
                  <wp:effectExtent l="0" t="0" r="6985" b="8255"/>
                  <wp:docPr id="3" name="图片 3" descr="图片签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316378" name="图片 3" descr="图片签章"/>
                          <pic:cNvPicPr>
                            <a:picLocks noChangeAspect="1"/>
                          </pic:cNvPicPr>
                        </pic:nvPicPr>
                        <pic:blipFill>
                          <a:blip xmlns:r="http://schemas.openxmlformats.org/officeDocument/2006/relationships" r:embed="rId6"/>
                          <a:stretch>
                            <a:fillRect/>
                          </a:stretch>
                        </pic:blipFill>
                        <pic:spPr>
                          <a:xfrm>
                            <a:off x="0" y="0"/>
                            <a:ext cx="831215" cy="353695"/>
                          </a:xfrm>
                          <a:prstGeom prst="rect">
                            <a:avLst/>
                          </a:prstGeom>
                        </pic:spPr>
                      </pic:pic>
                    </a:graphicData>
                  </a:graphic>
                </wp:inline>
              </w:drawing>
            </w:r>
          </w:p>
        </w:tc>
        <w:tc>
          <w:tcPr>
            <w:tcW w:w="1374" w:type="dxa"/>
            <w:gridSpan w:val="2"/>
            <w:shd w:val="clear" w:color="auto" w:fill="auto"/>
            <w:vAlign w:val="center"/>
          </w:tcPr>
          <w:p>
            <w:pPr>
              <w:keepNext w:val="0"/>
              <w:keepLines w:val="0"/>
              <w:suppressLineNumbers w:val="0"/>
              <w:adjustRightInd w:val="0"/>
              <w:snapToGrid w:val="0"/>
              <w:spacing w:before="3" w:beforeLines="1" w:beforeAutospacing="0" w:after="3" w:afterLines="1" w:afterAutospacing="0" w:line="240" w:lineRule="auto"/>
              <w:ind w:left="0" w:right="0"/>
              <w:jc w:val="center"/>
              <w:rPr>
                <w:rFonts w:ascii="Times New Roman" w:hAnsi="Times New Roman" w:cs="Times New Roman" w:hint="default"/>
                <w:color w:val="000000" w:themeColor="text1"/>
                <w:spacing w:val="0"/>
                <w:w w:val="100"/>
                <w:kern w:val="4"/>
                <w:position w:val="0"/>
                <w:sz w:val="24"/>
              </w:rPr>
            </w:pPr>
            <w:r>
              <w:rPr>
                <w:rFonts w:ascii="Times New Roman" w:hAnsi="Times New Roman" w:cs="Times New Roman" w:hint="default"/>
                <w:b/>
                <w:bCs/>
                <w:color w:val="000000" w:themeColor="text1"/>
                <w:spacing w:val="0"/>
                <w:w w:val="100"/>
                <w:kern w:val="4"/>
                <w:position w:val="0"/>
                <w:sz w:val="24"/>
              </w:rPr>
              <w:t>审核</w:t>
            </w:r>
          </w:p>
        </w:tc>
        <w:tc>
          <w:tcPr>
            <w:tcW w:w="1322" w:type="dxa"/>
            <w:gridSpan w:val="2"/>
            <w:shd w:val="clear" w:color="auto" w:fill="auto"/>
            <w:vAlign w:val="center"/>
          </w:tcPr>
          <w:p>
            <w:pPr>
              <w:keepNext w:val="0"/>
              <w:keepLines w:val="0"/>
              <w:suppressLineNumbers w:val="0"/>
              <w:adjustRightInd w:val="0"/>
              <w:snapToGrid w:val="0"/>
              <w:spacing w:before="3" w:beforeLines="1" w:beforeAutospacing="0" w:after="3" w:afterLines="1" w:afterAutospacing="0" w:line="240" w:lineRule="auto"/>
              <w:ind w:left="0" w:right="0"/>
              <w:jc w:val="center"/>
              <w:rPr>
                <w:rFonts w:ascii="Times New Roman" w:eastAsia="宋体" w:hAnsi="Times New Roman" w:cs="Times New Roman" w:hint="eastAsia"/>
                <w:b/>
                <w:bCs/>
                <w:color w:val="000000" w:themeColor="text1"/>
                <w:spacing w:val="0"/>
                <w:w w:val="100"/>
                <w:kern w:val="4"/>
                <w:position w:val="0"/>
                <w:sz w:val="24"/>
                <w:lang w:eastAsia="zh-CN"/>
              </w:rPr>
            </w:pPr>
            <w:r>
              <w:rPr>
                <w:rFonts w:ascii="Times New Roman" w:eastAsia="宋体" w:hAnsi="Times New Roman" w:cs="Times New Roman" w:hint="eastAsia"/>
                <w:b/>
                <w:bCs/>
                <w:color w:val="000000" w:themeColor="text1"/>
                <w:spacing w:val="0"/>
                <w:w w:val="100"/>
                <w:kern w:val="4"/>
                <w:position w:val="0"/>
                <w:sz w:val="24"/>
                <w:lang w:eastAsia="zh-CN"/>
              </w:rPr>
              <w:drawing>
                <wp:inline distT="0" distB="0" distL="114300" distR="114300">
                  <wp:extent cx="831215" cy="353695"/>
                  <wp:effectExtent l="0" t="0" r="6985" b="8255"/>
                  <wp:docPr id="2" name="图片 2" descr="图片签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586880" name="图片 2" descr="图片签章"/>
                          <pic:cNvPicPr>
                            <a:picLocks noChangeAspect="1"/>
                          </pic:cNvPicPr>
                        </pic:nvPicPr>
                        <pic:blipFill>
                          <a:blip xmlns:r="http://schemas.openxmlformats.org/officeDocument/2006/relationships" r:embed="rId7"/>
                          <a:stretch>
                            <a:fillRect/>
                          </a:stretch>
                        </pic:blipFill>
                        <pic:spPr>
                          <a:xfrm>
                            <a:off x="0" y="0"/>
                            <a:ext cx="831215" cy="353695"/>
                          </a:xfrm>
                          <a:prstGeom prst="rect">
                            <a:avLst/>
                          </a:prstGeom>
                        </pic:spPr>
                      </pic:pic>
                    </a:graphicData>
                  </a:graphic>
                </wp:inline>
              </w:drawing>
            </w:r>
          </w:p>
        </w:tc>
        <w:tc>
          <w:tcPr>
            <w:tcW w:w="1703" w:type="dxa"/>
            <w:gridSpan w:val="3"/>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3" w:beforeLines="1" w:beforeAutospacing="0" w:after="3" w:afterLines="1" w:afterAutospacing="0" w:line="260" w:lineRule="exact"/>
              <w:ind w:left="0" w:right="0"/>
              <w:jc w:val="center"/>
              <w:rPr>
                <w:rFonts w:ascii="Times New Roman" w:hAnsi="Times New Roman" w:cs="Times New Roman" w:hint="default"/>
                <w:color w:val="000000" w:themeColor="text1"/>
                <w:spacing w:val="0"/>
                <w:w w:val="100"/>
                <w:kern w:val="4"/>
                <w:position w:val="0"/>
                <w:sz w:val="24"/>
              </w:rPr>
            </w:pPr>
            <w:r>
              <w:rPr>
                <w:rFonts w:ascii="Times New Roman" w:hAnsi="Times New Roman" w:cs="Times New Roman" w:hint="default"/>
                <w:b/>
                <w:bCs/>
                <w:color w:val="000000" w:themeColor="text1"/>
                <w:spacing w:val="0"/>
                <w:w w:val="100"/>
                <w:kern w:val="4"/>
                <w:position w:val="0"/>
                <w:sz w:val="24"/>
              </w:rPr>
              <w:t>审定</w:t>
            </w:r>
          </w:p>
        </w:tc>
        <w:tc>
          <w:tcPr>
            <w:tcW w:w="2240" w:type="dxa"/>
            <w:gridSpan w:val="3"/>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3" w:beforeLines="1" w:beforeAutospacing="0" w:after="3" w:afterLines="1" w:afterAutospacing="0" w:line="260" w:lineRule="exact"/>
              <w:ind w:left="0" w:right="0"/>
              <w:jc w:val="both"/>
              <w:rPr>
                <w:rFonts w:ascii="Times New Roman" w:hAnsi="Times New Roman" w:cs="Times New Roman" w:hint="default"/>
                <w:color w:val="000000" w:themeColor="text1"/>
                <w:spacing w:val="0"/>
                <w:w w:val="100"/>
                <w:kern w:val="4"/>
                <w:position w:val="0"/>
                <w:sz w:val="24"/>
              </w:rPr>
            </w:pPr>
            <w:r>
              <w:rPr>
                <w:rFonts w:ascii="Times New Roman" w:eastAsia="宋体" w:hAnsi="Times New Roman" w:cs="Times New Roman" w:hint="eastAsia"/>
                <w:b/>
                <w:bCs/>
                <w:color w:val="000000" w:themeColor="text1"/>
                <w:spacing w:val="0"/>
                <w:w w:val="100"/>
                <w:kern w:val="4"/>
                <w:position w:val="0"/>
                <w:sz w:val="24"/>
                <w:lang w:eastAsia="zh-CN"/>
              </w:rPr>
              <w:drawing>
                <wp:anchor distT="0" distB="0" distL="114300" distR="114300" simplePos="0" relativeHeight="251658240" behindDoc="0" locked="0" layoutInCell="1" allowOverlap="1">
                  <wp:simplePos x="0" y="0"/>
                  <wp:positionH relativeFrom="column">
                    <wp:posOffset>33655</wp:posOffset>
                  </wp:positionH>
                  <wp:positionV relativeFrom="paragraph">
                    <wp:posOffset>10795</wp:posOffset>
                  </wp:positionV>
                  <wp:extent cx="831215" cy="353695"/>
                  <wp:effectExtent l="0" t="0" r="6985" b="8255"/>
                  <wp:wrapSquare wrapText="bothSides"/>
                  <wp:docPr id="7" name="图片 7" descr="图片签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7996102" name="图片 7" descr="图片签章"/>
                          <pic:cNvPicPr>
                            <a:picLocks noChangeAspect="1"/>
                          </pic:cNvPicPr>
                        </pic:nvPicPr>
                        <pic:blipFill>
                          <a:blip xmlns:r="http://schemas.openxmlformats.org/officeDocument/2006/relationships" r:embed="rId8"/>
                          <a:stretch>
                            <a:fillRect/>
                          </a:stretch>
                        </pic:blipFill>
                        <pic:spPr>
                          <a:xfrm>
                            <a:off x="0" y="0"/>
                            <a:ext cx="831215" cy="353695"/>
                          </a:xfrm>
                          <a:prstGeom prst="rect">
                            <a:avLst/>
                          </a:prstGeom>
                        </pic:spPr>
                      </pic:pic>
                    </a:graphicData>
                  </a:graphic>
                </wp:anchor>
              </w:drawing>
            </w:r>
          </w:p>
        </w:tc>
      </w:tr>
    </w:tbl>
    <w:p>
      <w:pPr>
        <w:keepNext w:val="0"/>
        <w:keepLines w:val="0"/>
        <w:pageBreakBefore w:val="0"/>
        <w:widowControl w:val="0"/>
        <w:kinsoku/>
        <w:wordWrap/>
        <w:overflowPunct/>
        <w:topLinePunct w:val="0"/>
        <w:autoSpaceDE w:val="0"/>
        <w:autoSpaceDN w:val="0"/>
        <w:bidi w:val="0"/>
        <w:spacing w:before="156" w:beforeLines="50" w:after="156" w:afterLines="50" w:line="360" w:lineRule="auto"/>
        <w:textAlignment w:val="auto"/>
        <w:outlineLvl w:val="2"/>
        <w:rPr>
          <w:rFonts w:ascii="Times New Roman" w:hAnsi="Times New Roman" w:cs="Times New Roman" w:hint="eastAsia"/>
          <w:b/>
          <w:spacing w:val="0"/>
          <w:w w:val="100"/>
          <w:kern w:val="4"/>
          <w:position w:val="0"/>
          <w:sz w:val="24"/>
          <w:lang w:val="en-US" w:eastAsia="zh-CN"/>
        </w:rPr>
      </w:pPr>
      <w:r>
        <w:rPr>
          <w:rFonts w:cs="Times New Roman" w:hint="eastAsia"/>
          <w:b/>
          <w:spacing w:val="0"/>
          <w:w w:val="100"/>
          <w:kern w:val="4"/>
          <w:position w:val="0"/>
          <w:sz w:val="24"/>
          <w:lang w:val="en-US" w:eastAsia="zh-CN"/>
        </w:rPr>
        <w:t>六、毕业要求对培养目标的支撑矩阵和课程体系对毕业要求的支撑矩阵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Theme="minorEastAsia" w:eastAsiaTheme="minorEastAsia" w:hAnsiTheme="minorEastAsia" w:cstheme="minorEastAsia" w:hint="eastAsia"/>
          <w:b w:val="0"/>
          <w:bCs w:val="0"/>
          <w:color w:val="000000" w:themeColor="text1"/>
          <w:lang w:val="en-US" w:eastAsia="zh-CN"/>
        </w:rPr>
      </w:pPr>
      <w:r>
        <w:rPr>
          <w:rFonts w:asciiTheme="minorEastAsia" w:eastAsiaTheme="minorEastAsia" w:hAnsiTheme="minorEastAsia" w:cstheme="minorEastAsia" w:hint="eastAsia"/>
          <w:b w:val="0"/>
          <w:bCs w:val="0"/>
          <w:color w:val="000000" w:themeColor="text1"/>
          <w:highlight w:val="none"/>
          <w:lang w:val="en-US" w:eastAsia="zh-CN"/>
        </w:rPr>
        <w:t>1.毕业要求对培养目标的支撑矩阵</w:t>
      </w:r>
    </w:p>
    <w:tbl>
      <w:tblPr>
        <w:tblStyle w:val="TableNormal"/>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377"/>
        <w:gridCol w:w="1269"/>
        <w:gridCol w:w="1269"/>
        <w:gridCol w:w="1269"/>
        <w:gridCol w:w="1269"/>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69"/>
          <w:tblHeader/>
        </w:trPr>
        <w:tc>
          <w:tcPr>
            <w:tcW w:w="1377" w:type="dxa"/>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szCs w:val="21"/>
              </w:rPr>
            </w:pPr>
          </w:p>
        </w:tc>
        <w:tc>
          <w:tcPr>
            <w:tcW w:w="1269" w:type="dxa"/>
            <w:vAlign w:val="center"/>
          </w:tcPr>
          <w:p>
            <w:pPr>
              <w:keepNext w:val="0"/>
              <w:keepLines w:val="0"/>
              <w:suppressLineNumbers w:val="0"/>
              <w:autoSpaceDE w:val="0"/>
              <w:autoSpaceDN w:val="0"/>
              <w:adjustRightInd w:val="0"/>
              <w:spacing w:before="0" w:beforeAutospacing="0" w:after="0" w:afterAutospacing="0"/>
              <w:ind w:left="0" w:right="0"/>
              <w:jc w:val="center"/>
              <w:rPr>
                <w:rFonts w:ascii="Times New Roman" w:hAnsi="Times New Roman" w:eastAsiaTheme="minorEastAsia" w:cs="Times New Roman" w:hint="default"/>
                <w:szCs w:val="21"/>
              </w:rPr>
            </w:pPr>
            <w:r>
              <w:rPr>
                <w:rFonts w:ascii="Times New Roman" w:hAnsi="Times New Roman" w:eastAsiaTheme="minorEastAsia" w:cs="Times New Roman" w:hint="default"/>
                <w:szCs w:val="21"/>
              </w:rPr>
              <w:t>培养目标1</w:t>
            </w:r>
          </w:p>
        </w:tc>
        <w:tc>
          <w:tcPr>
            <w:tcW w:w="1269" w:type="dxa"/>
            <w:vAlign w:val="center"/>
          </w:tcPr>
          <w:p>
            <w:pPr>
              <w:keepNext w:val="0"/>
              <w:keepLines w:val="0"/>
              <w:suppressLineNumbers w:val="0"/>
              <w:autoSpaceDE w:val="0"/>
              <w:autoSpaceDN w:val="0"/>
              <w:adjustRightInd w:val="0"/>
              <w:spacing w:before="0" w:beforeAutospacing="0" w:after="0" w:afterAutospacing="0"/>
              <w:ind w:left="0" w:right="0"/>
              <w:jc w:val="center"/>
              <w:rPr>
                <w:rFonts w:ascii="Times New Roman" w:hAnsi="Times New Roman" w:eastAsiaTheme="minorEastAsia" w:cs="Times New Roman" w:hint="default"/>
                <w:szCs w:val="21"/>
              </w:rPr>
            </w:pPr>
            <w:r>
              <w:rPr>
                <w:rFonts w:ascii="Times New Roman" w:hAnsi="Times New Roman" w:eastAsiaTheme="minorEastAsia" w:cs="Times New Roman" w:hint="default"/>
                <w:szCs w:val="21"/>
              </w:rPr>
              <w:t>培养目标2</w:t>
            </w:r>
          </w:p>
        </w:tc>
        <w:tc>
          <w:tcPr>
            <w:tcW w:w="1269" w:type="dxa"/>
            <w:vAlign w:val="center"/>
          </w:tcPr>
          <w:p>
            <w:pPr>
              <w:keepNext w:val="0"/>
              <w:keepLines w:val="0"/>
              <w:suppressLineNumbers w:val="0"/>
              <w:autoSpaceDE w:val="0"/>
              <w:autoSpaceDN w:val="0"/>
              <w:adjustRightInd w:val="0"/>
              <w:spacing w:before="0" w:beforeAutospacing="0" w:after="0" w:afterAutospacing="0"/>
              <w:ind w:left="0" w:right="0"/>
              <w:jc w:val="center"/>
              <w:rPr>
                <w:rFonts w:ascii="Times New Roman" w:hAnsi="Times New Roman" w:eastAsiaTheme="minorEastAsia" w:cs="Times New Roman" w:hint="default"/>
                <w:szCs w:val="21"/>
              </w:rPr>
            </w:pPr>
            <w:r>
              <w:rPr>
                <w:rFonts w:ascii="Times New Roman" w:hAnsi="Times New Roman" w:eastAsiaTheme="minorEastAsia" w:cs="Times New Roman" w:hint="default"/>
                <w:szCs w:val="21"/>
              </w:rPr>
              <w:t>培养目标3</w:t>
            </w:r>
          </w:p>
        </w:tc>
        <w:tc>
          <w:tcPr>
            <w:tcW w:w="1269" w:type="dxa"/>
            <w:vAlign w:val="center"/>
          </w:tcPr>
          <w:p>
            <w:pPr>
              <w:keepNext w:val="0"/>
              <w:keepLines w:val="0"/>
              <w:suppressLineNumbers w:val="0"/>
              <w:autoSpaceDE w:val="0"/>
              <w:autoSpaceDN w:val="0"/>
              <w:adjustRightInd w:val="0"/>
              <w:spacing w:before="0" w:beforeAutospacing="0" w:after="0" w:afterAutospacing="0"/>
              <w:ind w:left="0" w:right="0"/>
              <w:jc w:val="center"/>
              <w:rPr>
                <w:rFonts w:ascii="Times New Roman" w:hAnsi="Times New Roman" w:eastAsiaTheme="minorEastAsia" w:cs="Times New Roman" w:hint="default"/>
                <w:szCs w:val="21"/>
              </w:rPr>
            </w:pPr>
            <w:r>
              <w:rPr>
                <w:rFonts w:ascii="Times New Roman" w:hAnsi="Times New Roman" w:eastAsiaTheme="minorEastAsia" w:cs="Times New Roman" w:hint="default"/>
                <w:szCs w:val="21"/>
              </w:rPr>
              <w:t>培养目标4</w:t>
            </w:r>
          </w:p>
        </w:tc>
      </w:tr>
      <w:tr>
        <w:tblPrEx>
          <w:tblW w:w="0" w:type="auto"/>
          <w:tblInd w:w="0" w:type="dxa"/>
          <w:tblLayout w:type="fixed"/>
          <w:tblCellMar>
            <w:top w:w="0" w:type="dxa"/>
            <w:left w:w="108" w:type="dxa"/>
            <w:bottom w:w="0" w:type="dxa"/>
            <w:right w:w="108" w:type="dxa"/>
          </w:tblCellMar>
        </w:tblPrEx>
        <w:trPr>
          <w:trHeight w:hRule="exact" w:val="369"/>
          <w:tblHeader/>
        </w:trPr>
        <w:tc>
          <w:tcPr>
            <w:tcW w:w="1377" w:type="dxa"/>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szCs w:val="21"/>
              </w:rPr>
            </w:pPr>
            <w:r>
              <w:rPr>
                <w:rFonts w:hint="default"/>
                <w:szCs w:val="21"/>
              </w:rPr>
              <w:t>毕业要求1</w:t>
            </w: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r>
              <w:rPr>
                <w:rFonts w:eastAsia="仿宋" w:hint="default"/>
                <w:b/>
                <w:szCs w:val="21"/>
              </w:rPr>
              <w:t>√</w:t>
            </w: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r>
              <w:rPr>
                <w:rFonts w:eastAsia="仿宋" w:hint="default"/>
                <w:b/>
                <w:szCs w:val="21"/>
              </w:rPr>
              <w:t>√</w:t>
            </w:r>
          </w:p>
        </w:tc>
      </w:tr>
      <w:tr>
        <w:tblPrEx>
          <w:tblW w:w="0" w:type="auto"/>
          <w:tblInd w:w="0" w:type="dxa"/>
          <w:tblLayout w:type="fixed"/>
          <w:tblCellMar>
            <w:top w:w="0" w:type="dxa"/>
            <w:left w:w="108" w:type="dxa"/>
            <w:bottom w:w="0" w:type="dxa"/>
            <w:right w:w="108" w:type="dxa"/>
          </w:tblCellMar>
        </w:tblPrEx>
        <w:trPr>
          <w:trHeight w:hRule="exact" w:val="369"/>
          <w:tblHeader/>
        </w:trPr>
        <w:tc>
          <w:tcPr>
            <w:tcW w:w="1377" w:type="dxa"/>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szCs w:val="21"/>
              </w:rPr>
            </w:pPr>
            <w:r>
              <w:rPr>
                <w:rFonts w:hint="default"/>
                <w:szCs w:val="21"/>
              </w:rPr>
              <w:t>毕业要求2</w:t>
            </w: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r>
              <w:rPr>
                <w:rFonts w:eastAsia="仿宋" w:hint="default"/>
                <w:b/>
                <w:szCs w:val="21"/>
              </w:rPr>
              <w:t>√</w:t>
            </w: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r>
              <w:rPr>
                <w:rFonts w:eastAsia="仿宋" w:hint="default"/>
                <w:b/>
                <w:szCs w:val="21"/>
              </w:rPr>
              <w:t>√</w:t>
            </w: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p>
        </w:tc>
      </w:tr>
      <w:tr>
        <w:tblPrEx>
          <w:tblW w:w="0" w:type="auto"/>
          <w:tblInd w:w="0" w:type="dxa"/>
          <w:tblLayout w:type="fixed"/>
          <w:tblCellMar>
            <w:top w:w="0" w:type="dxa"/>
            <w:left w:w="108" w:type="dxa"/>
            <w:bottom w:w="0" w:type="dxa"/>
            <w:right w:w="108" w:type="dxa"/>
          </w:tblCellMar>
        </w:tblPrEx>
        <w:trPr>
          <w:trHeight w:hRule="exact" w:val="369"/>
          <w:tblHeader/>
        </w:trPr>
        <w:tc>
          <w:tcPr>
            <w:tcW w:w="1377" w:type="dxa"/>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szCs w:val="21"/>
              </w:rPr>
            </w:pPr>
            <w:r>
              <w:rPr>
                <w:rFonts w:hint="default"/>
                <w:szCs w:val="21"/>
              </w:rPr>
              <w:t>毕业要求3</w:t>
            </w: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r>
              <w:rPr>
                <w:rFonts w:eastAsia="仿宋" w:hint="default"/>
                <w:b/>
                <w:szCs w:val="21"/>
              </w:rPr>
              <w:t>√</w:t>
            </w: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r>
              <w:rPr>
                <w:rFonts w:eastAsia="仿宋" w:hint="default"/>
                <w:b/>
                <w:szCs w:val="21"/>
              </w:rPr>
              <w:t>√</w:t>
            </w: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p>
        </w:tc>
      </w:tr>
      <w:tr>
        <w:tblPrEx>
          <w:tblW w:w="0" w:type="auto"/>
          <w:tblInd w:w="0" w:type="dxa"/>
          <w:tblLayout w:type="fixed"/>
          <w:tblCellMar>
            <w:top w:w="0" w:type="dxa"/>
            <w:left w:w="108" w:type="dxa"/>
            <w:bottom w:w="0" w:type="dxa"/>
            <w:right w:w="108" w:type="dxa"/>
          </w:tblCellMar>
        </w:tblPrEx>
        <w:trPr>
          <w:trHeight w:hRule="exact" w:val="369"/>
          <w:tblHeader/>
        </w:trPr>
        <w:tc>
          <w:tcPr>
            <w:tcW w:w="1377" w:type="dxa"/>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szCs w:val="21"/>
              </w:rPr>
            </w:pPr>
            <w:r>
              <w:rPr>
                <w:rFonts w:hint="default"/>
                <w:szCs w:val="21"/>
              </w:rPr>
              <w:t>毕业要求4</w:t>
            </w: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r>
              <w:rPr>
                <w:rFonts w:eastAsia="仿宋" w:hint="default"/>
                <w:b/>
                <w:szCs w:val="21"/>
              </w:rPr>
              <w:t>√</w:t>
            </w: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r>
              <w:rPr>
                <w:rFonts w:eastAsia="仿宋" w:hint="default"/>
                <w:b/>
                <w:szCs w:val="21"/>
              </w:rPr>
              <w:t>√</w:t>
            </w:r>
          </w:p>
        </w:tc>
      </w:tr>
    </w:tbl>
    <w:p>
      <w:pPr>
        <w:sectPr>
          <w:pgSz w:w="11906" w:h="16838"/>
          <w:pgMar w:top="1440" w:right="1800" w:bottom="1440" w:left="1800" w:header="851" w:footer="992" w:gutter="0"/>
          <w:cols w:num="1" w:space="425"/>
          <w:docGrid w:type="lines" w:linePitch="312" w:charSpace="0"/>
        </w:sectPr>
      </w:pPr>
    </w:p>
    <w:p>
      <w:pPr>
        <w:spacing w:line="240" w:lineRule="auto"/>
        <w:textAlignment w:val="center"/>
        <w:rPr>
          <w:rFonts w:ascii="Times New Roman" w:hAnsi="Times New Roman" w:cs="Times New Roman" w:hint="default"/>
          <w:spacing w:val="0"/>
          <w:w w:val="100"/>
          <w:kern w:val="4"/>
          <w:position w:val="0"/>
        </w:rPr>
      </w:pPr>
    </w:p>
    <w:p>
      <w:pPr>
        <w:spacing w:line="240" w:lineRule="auto"/>
        <w:textAlignment w:val="center"/>
        <w:rPr>
          <w:rFonts w:ascii="Times New Roman" w:eastAsia="宋体" w:hAnsi="Times New Roman" w:cs="Times New Roman" w:hint="default"/>
          <w:spacing w:val="0"/>
          <w:w w:val="100"/>
          <w:kern w:val="4"/>
          <w:position w:val="0"/>
          <w:lang w:val="en-US" w:eastAsia="zh-CN"/>
        </w:rPr>
      </w:pPr>
      <w:r>
        <w:rPr>
          <w:rFonts w:cs="Times New Roman" w:hint="eastAsia"/>
          <w:spacing w:val="0"/>
          <w:w w:val="100"/>
          <w:kern w:val="4"/>
          <w:position w:val="0"/>
          <w:lang w:val="en-US" w:eastAsia="zh-CN"/>
        </w:rPr>
        <w:t>2.课程与毕业要求的对应关系矩阵</w:t>
      </w:r>
    </w:p>
    <w:tbl>
      <w:tblPr>
        <w:tblW w:w="5083" w:type="pct"/>
        <w:tblLayout w:type="fixed"/>
        <w:tblLook w:val="04A0"/>
      </w:tblPr>
      <w:tblGrid>
        <w:gridCol w:w="1590"/>
        <w:gridCol w:w="3459"/>
        <w:gridCol w:w="884"/>
        <w:gridCol w:w="707"/>
        <w:gridCol w:w="707"/>
        <w:gridCol w:w="707"/>
        <w:gridCol w:w="707"/>
        <w:gridCol w:w="706"/>
        <w:gridCol w:w="706"/>
        <w:gridCol w:w="706"/>
        <w:gridCol w:w="706"/>
        <w:gridCol w:w="706"/>
        <w:gridCol w:w="706"/>
        <w:gridCol w:w="706"/>
        <w:gridCol w:w="706"/>
      </w:tblGrid>
      <w:tr>
        <w:tblPrEx>
          <w:tblW w:w="5083" w:type="pct"/>
          <w:tblLayout w:type="fixed"/>
          <w:tblLook w:val="04A0"/>
        </w:tblPrEx>
        <w:trPr>
          <w:trHeight w:val="400"/>
          <w:tblHeader/>
        </w:trPr>
        <w:tc>
          <w:tcPr>
            <w:tcW w:w="900" w:type="dxa"/>
            <w:vMerge w:val="restart"/>
            <w:tcBorders>
              <w:top w:val="single" w:sz="4" w:space="0" w:color="auto"/>
              <w:left w:val="single" w:sz="4" w:space="0" w:color="auto"/>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ascii="宋体" w:hAnsi="宋体" w:hint="eastAsia"/>
                <w:b/>
                <w:bCs/>
                <w:color w:val="000000"/>
                <w:kern w:val="0"/>
                <w:sz w:val="15"/>
                <w:szCs w:val="15"/>
              </w:rPr>
              <w:t>类别</w:t>
            </w:r>
          </w:p>
        </w:tc>
        <w:tc>
          <w:tcPr>
            <w:tcW w:w="1958" w:type="dxa"/>
            <w:vMerge w:val="restart"/>
            <w:tcBorders>
              <w:top w:val="single" w:sz="4" w:space="0" w:color="auto"/>
              <w:left w:val="single" w:sz="4" w:space="0" w:color="auto"/>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ascii="宋体" w:hAnsi="宋体" w:hint="eastAsia"/>
                <w:b/>
                <w:bCs/>
                <w:color w:val="000000"/>
                <w:kern w:val="0"/>
                <w:sz w:val="15"/>
                <w:szCs w:val="15"/>
              </w:rPr>
              <w:t>课程名称</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ascii="宋体" w:hAnsi="宋体" w:hint="eastAsia"/>
                <w:b/>
                <w:bCs/>
                <w:color w:val="000000"/>
                <w:kern w:val="0"/>
                <w:sz w:val="15"/>
                <w:szCs w:val="15"/>
              </w:rPr>
              <w:t>学分</w:t>
            </w:r>
          </w:p>
        </w:tc>
        <w:tc>
          <w:tcPr>
            <w:tcW w:w="1200" w:type="dxa"/>
            <w:gridSpan w:val="3"/>
            <w:tcBorders>
              <w:top w:val="single" w:sz="4" w:space="0" w:color="auto"/>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ascii="宋体" w:hAnsi="宋体" w:hint="eastAsia"/>
                <w:b/>
                <w:bCs/>
                <w:color w:val="000000"/>
                <w:kern w:val="0"/>
                <w:sz w:val="15"/>
                <w:szCs w:val="15"/>
              </w:rPr>
              <w:t>毕业要求</w:t>
            </w:r>
            <w:r>
              <w:rPr>
                <w:rFonts w:eastAsia="等线" w:hint="default"/>
                <w:b/>
                <w:bCs/>
                <w:color w:val="000000"/>
                <w:kern w:val="0"/>
                <w:sz w:val="15"/>
                <w:szCs w:val="15"/>
              </w:rPr>
              <w:t>1</w:t>
            </w:r>
          </w:p>
        </w:tc>
        <w:tc>
          <w:tcPr>
            <w:tcW w:w="1200" w:type="dxa"/>
            <w:gridSpan w:val="3"/>
            <w:tcBorders>
              <w:top w:val="single" w:sz="4" w:space="0" w:color="auto"/>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ascii="宋体" w:hAnsi="宋体" w:hint="eastAsia"/>
                <w:b/>
                <w:bCs/>
                <w:color w:val="000000"/>
                <w:kern w:val="0"/>
                <w:sz w:val="15"/>
                <w:szCs w:val="15"/>
              </w:rPr>
              <w:t>毕业要求</w:t>
            </w:r>
            <w:r>
              <w:rPr>
                <w:rFonts w:eastAsia="等线" w:hint="default"/>
                <w:b/>
                <w:bCs/>
                <w:color w:val="000000"/>
                <w:kern w:val="0"/>
                <w:sz w:val="15"/>
                <w:szCs w:val="15"/>
              </w:rPr>
              <w:t>2</w:t>
            </w:r>
          </w:p>
        </w:tc>
        <w:tc>
          <w:tcPr>
            <w:tcW w:w="1200" w:type="dxa"/>
            <w:gridSpan w:val="3"/>
            <w:tcBorders>
              <w:top w:val="single" w:sz="4" w:space="0" w:color="auto"/>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ascii="宋体" w:hAnsi="宋体" w:hint="eastAsia"/>
                <w:b/>
                <w:bCs/>
                <w:color w:val="000000"/>
                <w:kern w:val="0"/>
                <w:sz w:val="15"/>
                <w:szCs w:val="15"/>
              </w:rPr>
              <w:t>毕业要求</w:t>
            </w:r>
            <w:r>
              <w:rPr>
                <w:rFonts w:eastAsia="等线" w:hint="default"/>
                <w:b/>
                <w:bCs/>
                <w:color w:val="000000"/>
                <w:kern w:val="0"/>
                <w:sz w:val="15"/>
                <w:szCs w:val="15"/>
              </w:rPr>
              <w:t>3</w:t>
            </w:r>
          </w:p>
        </w:tc>
        <w:tc>
          <w:tcPr>
            <w:tcW w:w="1200" w:type="dxa"/>
            <w:gridSpan w:val="3"/>
            <w:tcBorders>
              <w:top w:val="single" w:sz="4" w:space="0" w:color="auto"/>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ascii="宋体" w:hAnsi="宋体" w:hint="eastAsia"/>
                <w:b/>
                <w:bCs/>
                <w:color w:val="000000"/>
                <w:kern w:val="0"/>
                <w:sz w:val="15"/>
                <w:szCs w:val="15"/>
              </w:rPr>
              <w:t>毕业要求</w:t>
            </w:r>
            <w:r>
              <w:rPr>
                <w:rFonts w:eastAsia="等线" w:hint="default"/>
                <w:b/>
                <w:bCs/>
                <w:color w:val="000000"/>
                <w:kern w:val="0"/>
                <w:sz w:val="15"/>
                <w:szCs w:val="15"/>
              </w:rPr>
              <w:t>4</w:t>
            </w:r>
          </w:p>
        </w:tc>
      </w:tr>
      <w:tr>
        <w:tblPrEx>
          <w:tblW w:w="5083" w:type="pct"/>
          <w:tblLayout w:type="fixed"/>
          <w:tblLook w:val="04A0"/>
        </w:tblPrEx>
        <w:trPr>
          <w:trHeight w:val="400"/>
          <w:tblHeader/>
        </w:trPr>
        <w:tc>
          <w:tcPr>
            <w:tcW w:w="900" w:type="dxa"/>
            <w:vMerge/>
            <w:tcBorders>
              <w:top w:val="single" w:sz="4" w:space="0" w:color="auto"/>
              <w:left w:val="single" w:sz="4" w:space="0" w:color="auto"/>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left"/>
              <w:rPr>
                <w:rFonts w:eastAsia="等线" w:hint="default"/>
                <w:b/>
                <w:bCs/>
                <w:color w:val="000000"/>
                <w:kern w:val="0"/>
                <w:sz w:val="15"/>
                <w:szCs w:val="15"/>
              </w:rPr>
            </w:pPr>
          </w:p>
        </w:tc>
        <w:tc>
          <w:tcPr>
            <w:tcW w:w="1958" w:type="dxa"/>
            <w:vMerge/>
            <w:tcBorders>
              <w:top w:val="single" w:sz="4" w:space="0" w:color="auto"/>
              <w:left w:val="single" w:sz="4" w:space="0" w:color="auto"/>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left"/>
              <w:rPr>
                <w:rFonts w:eastAsia="等线" w:hint="default"/>
                <w:b/>
                <w:bCs/>
                <w:color w:val="000000"/>
                <w:kern w:val="0"/>
                <w:sz w:val="15"/>
                <w:szCs w:val="15"/>
              </w:rPr>
            </w:pPr>
          </w:p>
        </w:tc>
        <w:tc>
          <w:tcPr>
            <w:tcW w:w="500" w:type="dxa"/>
            <w:vMerge/>
            <w:tcBorders>
              <w:top w:val="single" w:sz="4" w:space="0" w:color="auto"/>
              <w:left w:val="single" w:sz="4" w:space="0" w:color="auto"/>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left"/>
              <w:rPr>
                <w:rFonts w:eastAsia="等线" w:hint="default"/>
                <w:b/>
                <w:bCs/>
                <w:color w:val="000000"/>
                <w:kern w:val="0"/>
                <w:sz w:val="15"/>
                <w:szCs w:val="15"/>
              </w:rPr>
            </w:pPr>
          </w:p>
        </w:tc>
        <w:tc>
          <w:tcPr>
            <w:tcW w:w="400" w:type="dxa"/>
            <w:tcBorders>
              <w:top w:val="nil"/>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eastAsia="等线" w:hint="default"/>
                <w:b/>
                <w:bCs/>
                <w:color w:val="000000"/>
                <w:kern w:val="0"/>
                <w:sz w:val="15"/>
                <w:szCs w:val="15"/>
              </w:rPr>
              <w:t>1</w:t>
            </w:r>
          </w:p>
        </w:tc>
        <w:tc>
          <w:tcPr>
            <w:tcW w:w="400" w:type="dxa"/>
            <w:tcBorders>
              <w:top w:val="nil"/>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eastAsia="等线" w:hint="default"/>
                <w:b/>
                <w:bCs/>
                <w:color w:val="000000"/>
                <w:kern w:val="0"/>
                <w:sz w:val="15"/>
                <w:szCs w:val="15"/>
              </w:rPr>
              <w:t>2</w:t>
            </w:r>
          </w:p>
        </w:tc>
        <w:tc>
          <w:tcPr>
            <w:tcW w:w="400" w:type="dxa"/>
            <w:tcBorders>
              <w:top w:val="nil"/>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eastAsia="等线" w:hint="default"/>
                <w:b/>
                <w:bCs/>
                <w:color w:val="000000"/>
                <w:kern w:val="0"/>
                <w:sz w:val="15"/>
                <w:szCs w:val="15"/>
              </w:rPr>
              <w:t>3</w:t>
            </w:r>
          </w:p>
        </w:tc>
        <w:tc>
          <w:tcPr>
            <w:tcW w:w="400" w:type="dxa"/>
            <w:tcBorders>
              <w:top w:val="nil"/>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eastAsia="等线" w:hint="default"/>
                <w:b/>
                <w:bCs/>
                <w:color w:val="000000"/>
                <w:kern w:val="0"/>
                <w:sz w:val="15"/>
                <w:szCs w:val="15"/>
              </w:rPr>
              <w:t>1</w:t>
            </w:r>
          </w:p>
        </w:tc>
        <w:tc>
          <w:tcPr>
            <w:tcW w:w="400" w:type="dxa"/>
            <w:tcBorders>
              <w:top w:val="nil"/>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eastAsia="等线" w:hint="default"/>
                <w:b/>
                <w:bCs/>
                <w:color w:val="000000"/>
                <w:kern w:val="0"/>
                <w:sz w:val="15"/>
                <w:szCs w:val="15"/>
              </w:rPr>
              <w:t>2</w:t>
            </w:r>
          </w:p>
        </w:tc>
        <w:tc>
          <w:tcPr>
            <w:tcW w:w="400" w:type="dxa"/>
            <w:tcBorders>
              <w:top w:val="nil"/>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eastAsia="等线" w:hint="default"/>
                <w:b/>
                <w:bCs/>
                <w:color w:val="000000"/>
                <w:kern w:val="0"/>
                <w:sz w:val="15"/>
                <w:szCs w:val="15"/>
              </w:rPr>
              <w:t>3</w:t>
            </w:r>
          </w:p>
        </w:tc>
        <w:tc>
          <w:tcPr>
            <w:tcW w:w="400" w:type="dxa"/>
            <w:tcBorders>
              <w:top w:val="nil"/>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eastAsia="等线" w:hint="default"/>
                <w:b/>
                <w:bCs/>
                <w:color w:val="000000"/>
                <w:kern w:val="0"/>
                <w:sz w:val="15"/>
                <w:szCs w:val="15"/>
              </w:rPr>
              <w:t>1</w:t>
            </w:r>
          </w:p>
        </w:tc>
        <w:tc>
          <w:tcPr>
            <w:tcW w:w="400" w:type="dxa"/>
            <w:tcBorders>
              <w:top w:val="nil"/>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eastAsia="等线" w:hint="default"/>
                <w:b/>
                <w:bCs/>
                <w:color w:val="000000"/>
                <w:kern w:val="0"/>
                <w:sz w:val="15"/>
                <w:szCs w:val="15"/>
              </w:rPr>
              <w:t>2</w:t>
            </w:r>
          </w:p>
        </w:tc>
        <w:tc>
          <w:tcPr>
            <w:tcW w:w="400" w:type="dxa"/>
            <w:tcBorders>
              <w:top w:val="nil"/>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eastAsia="等线" w:hint="default"/>
                <w:b/>
                <w:bCs/>
                <w:color w:val="000000"/>
                <w:kern w:val="0"/>
                <w:sz w:val="15"/>
                <w:szCs w:val="15"/>
              </w:rPr>
              <w:t>3</w:t>
            </w:r>
          </w:p>
        </w:tc>
        <w:tc>
          <w:tcPr>
            <w:tcW w:w="400" w:type="dxa"/>
            <w:tcBorders>
              <w:top w:val="nil"/>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eastAsia="等线" w:hint="default"/>
                <w:b/>
                <w:bCs/>
                <w:color w:val="000000"/>
                <w:kern w:val="0"/>
                <w:sz w:val="15"/>
                <w:szCs w:val="15"/>
              </w:rPr>
              <w:t>1</w:t>
            </w:r>
          </w:p>
        </w:tc>
        <w:tc>
          <w:tcPr>
            <w:tcW w:w="400" w:type="dxa"/>
            <w:tcBorders>
              <w:top w:val="nil"/>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eastAsia="等线" w:hint="default"/>
                <w:b/>
                <w:bCs/>
                <w:color w:val="000000"/>
                <w:kern w:val="0"/>
                <w:sz w:val="15"/>
                <w:szCs w:val="15"/>
              </w:rPr>
              <w:t>2</w:t>
            </w:r>
          </w:p>
        </w:tc>
        <w:tc>
          <w:tcPr>
            <w:tcW w:w="400" w:type="dxa"/>
            <w:tcBorders>
              <w:top w:val="nil"/>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eastAsia="等线" w:hint="default"/>
                <w:b/>
                <w:bCs/>
                <w:color w:val="000000"/>
                <w:kern w:val="0"/>
                <w:sz w:val="15"/>
                <w:szCs w:val="15"/>
              </w:rPr>
              <w:t>3</w:t>
            </w:r>
          </w:p>
        </w:tc>
      </w:tr>
      <w:tr>
        <w:tblPrEx>
          <w:tblW w:w="5083" w:type="pct"/>
          <w:tblLayout w:type="fixed"/>
          <w:tblCellMar>
            <w:top w:w="0" w:type="dxa"/>
            <w:left w:w="108" w:type="dxa"/>
            <w:bottom w:w="0" w:type="dxa"/>
            <w:right w:w="108" w:type="dxa"/>
          </w:tblCellMar>
          <w:tblLook w:val="04A0"/>
        </w:tblPrEx>
        <w:trPr>
          <w:trHeight w:val="300"/>
        </w:trPr>
        <w:tc>
          <w:tcPr>
            <w:tcW w:w="900" w:type="dxa"/>
            <w:vMerge w:val="restart"/>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马克思主义基本原理</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3.0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毛泽东思想和中国特色社会主义理论体系概论</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思想道德与法治</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习近平新时代中国特色社会主义思想概论</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形势与政策Ⅰ</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0.5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形势与政策Ⅱ</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0.5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形势与政策Ⅲ</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0.5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形势与政策Ⅳ</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0.5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中国近现代史纲要</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改革开放史</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社会主义发展史</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中国共产党史</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中华人民共和国史</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军事理论</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体育Ⅰ</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体育Ⅱ</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体育Ⅴ</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0.25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体育Ⅵ</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0.25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体育Ⅲ</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体育Ⅳ</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大学英语读写Ⅰ</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大学英语读写Ⅱ</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大学英语听说Ⅰ</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大学英语听说Ⅱ</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新文科大学英语Ⅰ</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新文科大学英语Ⅱ</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计算思维与人工智能导论(C)</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信息检索与数智素养</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Python程序设计(B)</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大学生国家安全教育</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大学生劳动教育</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0.5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大学生心理健康教育</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大学生职业生涯规划与就业指导I</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0.25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大学生职业生涯规划与就业指导II</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0.25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大学生职业生涯规划与就业指导III</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0.25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大学生职业生涯规划与就业指导IV</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0.25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科学技术类(学生自选)</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美育限选课(学生自选)</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中国传统文化</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val="restart"/>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学科基础课程</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概率论与数理统计(D)</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3.0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学科基础课程</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高等数学(A)Ⅰ</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5.0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学科基础课程</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高等数学(A)Ⅱ</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5.0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学科基础课程</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管理经济学</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3.0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学科基础课程</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管理信息系统(B)</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学科基础课程</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管理学原理</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3.0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学科基础课程</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管理运筹学(A)</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4.0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学科基础课程</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会计学原理</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学科基础课程</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线性代数(B)</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val="restart"/>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创新方法基础</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0.5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大学生创业基础</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0.5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工程经济学</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3.0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工程统计学</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3.0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工业工程专业导论</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供应链管理</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3.0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基础工业工程</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3.0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机械制造技术基础(B)</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3.0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计算机绘图CAD</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人因工程</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3.0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设施规划与物流工程</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生产计划与控制</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系统工程</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质量管理</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3.0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ERP原理与应用</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财务管理</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服务运作管理</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国际市场营销</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精益生产</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可靠性工程</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人力资源管理</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数据可视化</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物联网与云计算</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项目管理</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智能决策理论与方法</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智能制造导论</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val="restart"/>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集中实践环节模块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创新创业综合训练</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集中实践环节模块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大学生暑期社会实践</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集中实践环节模块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工程训练(C)</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集中实践环节模块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工业工程专业毕业论文</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14.0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集中实践环节模块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工业工程专业毕业实习</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集中实践环节模块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工业工程专业综合课程设计</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3.0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集中实践环节模块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劳动教育实践</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0.5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集中实践环节模块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企业管理模拟实习</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集中实践环节模块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人因工程课程设计</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集中实践环节模块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入学教育及军训</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集中实践环节模块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沙盘模拟实习(B)</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集中实践环节模块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设施规划与物流工程课程设计</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集中实践环节模块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生产计划与控制课程设计</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集中实践环节模块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思想政治理论课实践教学</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集中实践环节模块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物流与供应链综合训练</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集中实践环节模块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专业文献翻译与工业工程进展综述</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3.0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r>
    </w:tbl>
    <w:p/>
    <w:sectPr>
      <w:pgSz w:w="16838" w:h="11906" w:orient="landscape"/>
      <w:pgMar w:top="1800" w:right="1440" w:bottom="1800" w:left="144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方正小标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tabs>
        <w:tab w:val="left" w:pos="239"/>
        <w:tab w:val="clear" w:pos="4153"/>
      </w:tabs>
      <w:jc w:val="center"/>
    </w:pPr>
    <w:r>
      <w:fldChar w:fldCharType="begin"/>
    </w:r>
    <w:r>
      <w:instrText>PAGE</w:instrText>
    </w:r>
    <w:r>
      <w:fldChar w:fldCharType="separate"/>
    </w:r>
    <w:r>
      <w:fldChar w:fldCharType="end"/>
    </w:r>
    <w:r>
      <w:t xml:space="preserve"> / </w:t>
    </w:r>
    <w:r>
      <w:fldChar w:fldCharType="begin"/>
    </w:r>
    <w:r>
      <w:instrText>NUMPAGES</w:instrText>
    </w:r>
    <w:r>
      <w:fldChar w:fldCharType="separate"/>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E465A95"/>
    <w:rsid w:val="00610625"/>
    <w:rsid w:val="01245B7E"/>
    <w:rsid w:val="024164DA"/>
    <w:rsid w:val="028133CD"/>
    <w:rsid w:val="03305FFE"/>
    <w:rsid w:val="03563CB7"/>
    <w:rsid w:val="039447DF"/>
    <w:rsid w:val="04CE3D21"/>
    <w:rsid w:val="05216546"/>
    <w:rsid w:val="058906CE"/>
    <w:rsid w:val="05A61A15"/>
    <w:rsid w:val="06B56534"/>
    <w:rsid w:val="08B54BB1"/>
    <w:rsid w:val="08FD1499"/>
    <w:rsid w:val="091C01AA"/>
    <w:rsid w:val="0B723374"/>
    <w:rsid w:val="0C4227F9"/>
    <w:rsid w:val="0CE20369"/>
    <w:rsid w:val="0DA04E19"/>
    <w:rsid w:val="0EBA46CB"/>
    <w:rsid w:val="0EED7507"/>
    <w:rsid w:val="0F772D10"/>
    <w:rsid w:val="104942F3"/>
    <w:rsid w:val="104E7368"/>
    <w:rsid w:val="10F466DC"/>
    <w:rsid w:val="11BC6E1B"/>
    <w:rsid w:val="11E903EC"/>
    <w:rsid w:val="15D048D6"/>
    <w:rsid w:val="16706054"/>
    <w:rsid w:val="16761E05"/>
    <w:rsid w:val="178818B3"/>
    <w:rsid w:val="1877314A"/>
    <w:rsid w:val="18815D6B"/>
    <w:rsid w:val="18B54D9E"/>
    <w:rsid w:val="19046C82"/>
    <w:rsid w:val="1A57289D"/>
    <w:rsid w:val="1A870E35"/>
    <w:rsid w:val="1AA248C6"/>
    <w:rsid w:val="1C2C55BB"/>
    <w:rsid w:val="1C423533"/>
    <w:rsid w:val="1C9E4AD6"/>
    <w:rsid w:val="1E566E09"/>
    <w:rsid w:val="1E6900E2"/>
    <w:rsid w:val="1F07606D"/>
    <w:rsid w:val="1FFD146C"/>
    <w:rsid w:val="20C341F2"/>
    <w:rsid w:val="212339B6"/>
    <w:rsid w:val="212B5D0A"/>
    <w:rsid w:val="21F7025F"/>
    <w:rsid w:val="22C100B3"/>
    <w:rsid w:val="23376DEB"/>
    <w:rsid w:val="246B0F38"/>
    <w:rsid w:val="250E179D"/>
    <w:rsid w:val="25C55791"/>
    <w:rsid w:val="26E369D6"/>
    <w:rsid w:val="28221DB2"/>
    <w:rsid w:val="28274F1D"/>
    <w:rsid w:val="28575C58"/>
    <w:rsid w:val="28AF1A40"/>
    <w:rsid w:val="29B30956"/>
    <w:rsid w:val="2A5F40BB"/>
    <w:rsid w:val="2A6401B8"/>
    <w:rsid w:val="2B9F3B9D"/>
    <w:rsid w:val="2BDA4BD6"/>
    <w:rsid w:val="2C106849"/>
    <w:rsid w:val="2C12005C"/>
    <w:rsid w:val="2CFB243E"/>
    <w:rsid w:val="2DCF003E"/>
    <w:rsid w:val="2DF26F45"/>
    <w:rsid w:val="2E2E7611"/>
    <w:rsid w:val="2E8A62B5"/>
    <w:rsid w:val="2E9574DA"/>
    <w:rsid w:val="2FF12000"/>
    <w:rsid w:val="306863FA"/>
    <w:rsid w:val="308D7093"/>
    <w:rsid w:val="30D00355"/>
    <w:rsid w:val="31421AF1"/>
    <w:rsid w:val="314A1D82"/>
    <w:rsid w:val="325F111E"/>
    <w:rsid w:val="326E7E26"/>
    <w:rsid w:val="327F1099"/>
    <w:rsid w:val="33113F6F"/>
    <w:rsid w:val="3330157F"/>
    <w:rsid w:val="333077D1"/>
    <w:rsid w:val="34BE4140"/>
    <w:rsid w:val="34DF500B"/>
    <w:rsid w:val="354E2190"/>
    <w:rsid w:val="35D541B3"/>
    <w:rsid w:val="36533CC4"/>
    <w:rsid w:val="36CA7816"/>
    <w:rsid w:val="37A3583F"/>
    <w:rsid w:val="3885006C"/>
    <w:rsid w:val="38996B9A"/>
    <w:rsid w:val="3A41067F"/>
    <w:rsid w:val="3ACC4283"/>
    <w:rsid w:val="3C3F30EB"/>
    <w:rsid w:val="3C673F2A"/>
    <w:rsid w:val="3D1B6DFC"/>
    <w:rsid w:val="3D472B15"/>
    <w:rsid w:val="3FD37E62"/>
    <w:rsid w:val="404D01E8"/>
    <w:rsid w:val="40F00D7D"/>
    <w:rsid w:val="40FC63F3"/>
    <w:rsid w:val="413A38D4"/>
    <w:rsid w:val="418A4E23"/>
    <w:rsid w:val="45965BB9"/>
    <w:rsid w:val="45B55914"/>
    <w:rsid w:val="45EB3705"/>
    <w:rsid w:val="47134FF8"/>
    <w:rsid w:val="47BE633D"/>
    <w:rsid w:val="48116EDB"/>
    <w:rsid w:val="4B2C4F40"/>
    <w:rsid w:val="4B8267D2"/>
    <w:rsid w:val="4B8F59ED"/>
    <w:rsid w:val="4D6D0D89"/>
    <w:rsid w:val="4E6E0DEE"/>
    <w:rsid w:val="4E7312C8"/>
    <w:rsid w:val="4EDA3305"/>
    <w:rsid w:val="4F597ACD"/>
    <w:rsid w:val="508814BC"/>
    <w:rsid w:val="50FA6E95"/>
    <w:rsid w:val="51E447B1"/>
    <w:rsid w:val="520D1688"/>
    <w:rsid w:val="52CF6252"/>
    <w:rsid w:val="5309699E"/>
    <w:rsid w:val="541B6B98"/>
    <w:rsid w:val="54AC305F"/>
    <w:rsid w:val="55063453"/>
    <w:rsid w:val="55A45A27"/>
    <w:rsid w:val="55D0590B"/>
    <w:rsid w:val="5682314E"/>
    <w:rsid w:val="57385095"/>
    <w:rsid w:val="5763068E"/>
    <w:rsid w:val="592D28E9"/>
    <w:rsid w:val="5C372B0C"/>
    <w:rsid w:val="5C5E4621"/>
    <w:rsid w:val="5C8962D7"/>
    <w:rsid w:val="5CB3474E"/>
    <w:rsid w:val="5CB53A0D"/>
    <w:rsid w:val="5DE87AF2"/>
    <w:rsid w:val="5EB26BFE"/>
    <w:rsid w:val="5F0C439F"/>
    <w:rsid w:val="5F8852BC"/>
    <w:rsid w:val="5FEB236D"/>
    <w:rsid w:val="5FFF5CB2"/>
    <w:rsid w:val="60347E2A"/>
    <w:rsid w:val="6054690E"/>
    <w:rsid w:val="61F45CEA"/>
    <w:rsid w:val="63BD210C"/>
    <w:rsid w:val="64030466"/>
    <w:rsid w:val="640D4E41"/>
    <w:rsid w:val="64694A07"/>
    <w:rsid w:val="664178E3"/>
    <w:rsid w:val="66D76E6D"/>
    <w:rsid w:val="67694CDA"/>
    <w:rsid w:val="67B83CE7"/>
    <w:rsid w:val="67E2431E"/>
    <w:rsid w:val="67F36F91"/>
    <w:rsid w:val="686679E3"/>
    <w:rsid w:val="68B40142"/>
    <w:rsid w:val="69160E69"/>
    <w:rsid w:val="6ADE7537"/>
    <w:rsid w:val="6B642CA1"/>
    <w:rsid w:val="6B6D0959"/>
    <w:rsid w:val="6CF02DCB"/>
    <w:rsid w:val="6D5F4DF9"/>
    <w:rsid w:val="6DF64CF4"/>
    <w:rsid w:val="6E465A95"/>
    <w:rsid w:val="6EBB71F2"/>
    <w:rsid w:val="6F357E06"/>
    <w:rsid w:val="6F8F6484"/>
    <w:rsid w:val="71EA64F7"/>
    <w:rsid w:val="72264FDB"/>
    <w:rsid w:val="7416564C"/>
    <w:rsid w:val="746F497D"/>
    <w:rsid w:val="74E17AD3"/>
    <w:rsid w:val="756C4377"/>
    <w:rsid w:val="76085536"/>
    <w:rsid w:val="77277B70"/>
    <w:rsid w:val="777A5920"/>
    <w:rsid w:val="77A318EC"/>
    <w:rsid w:val="7856695F"/>
    <w:rsid w:val="789314F6"/>
    <w:rsid w:val="7A4D3D91"/>
    <w:rsid w:val="7A5F6ACA"/>
    <w:rsid w:val="7AF206A2"/>
    <w:rsid w:val="7B5B428C"/>
    <w:rsid w:val="7BC14128"/>
    <w:rsid w:val="7C9308B8"/>
    <w:rsid w:val="7CC45C25"/>
    <w:rsid w:val="7D433B62"/>
    <w:rsid w:val="7D584F27"/>
    <w:rsid w:val="7E48506D"/>
    <w:rsid w:val="7E926838"/>
    <w:rsid w:val="7ECA3C03"/>
    <w:rsid w:val="7F7F2C3F"/>
    <w:rsid w:val="7FD879C8"/>
    <w:rsid w:val="7FE505C8"/>
  </w:rsids>
  <w:docVars>
    <w:docVar w:name="commondata" w:val="eyJoZGlkIjoiYWNiNGNlZDRiNDUxNzQxZTgyMWI5YzM5NDMwMWQ0YWU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line="400" w:lineRule="exact"/>
      <w:jc w:val="both"/>
    </w:pPr>
    <w:rPr>
      <w:rFonts w:ascii="Times New Roman" w:eastAsia="宋体" w:hAnsi="Times New Roman" w:cs="Times New Roman"/>
      <w:kern w:val="6"/>
      <w:sz w:val="21"/>
      <w:szCs w:val="24"/>
      <w:lang w:val="en-US" w:eastAsia="zh-CN" w:bidi="ar-SA"/>
    </w:rPr>
  </w:style>
  <w:style w:type="paragraph" w:styleId="Heading1">
    <w:name w:val="heading 1"/>
    <w:basedOn w:val="Normal"/>
    <w:next w:val="Normal"/>
    <w:qFormat/>
    <w:pPr>
      <w:keepNext/>
      <w:pageBreakBefore/>
      <w:autoSpaceDE/>
      <w:autoSpaceDN w:val="0"/>
      <w:adjustRightInd w:val="0"/>
      <w:ind w:left="0"/>
      <w:jc w:val="center"/>
      <w:textAlignment w:val="center"/>
      <w:outlineLvl w:val="0"/>
    </w:pPr>
    <w:rPr>
      <w:rFonts w:ascii="Microsoft JhengHei" w:eastAsia="方正小标宋_GBK" w:hAnsi="Microsoft JhengHei" w:cs="Microsoft JhengHei"/>
      <w:bCs/>
      <w:kern w:val="0"/>
      <w:sz w:val="44"/>
      <w:lang w:eastAsia="en-US"/>
    </w:rPr>
  </w:style>
  <w:style w:type="paragraph" w:styleId="Heading2">
    <w:name w:val="heading 2"/>
    <w:basedOn w:val="Normal"/>
    <w:next w:val="Normal"/>
    <w:semiHidden/>
    <w:unhideWhenUsed/>
    <w:qFormat/>
    <w:pPr>
      <w:keepNext/>
      <w:keepLines/>
      <w:spacing w:before="140" w:beforeLines="0" w:beforeAutospacing="0" w:after="140" w:afterLines="0" w:afterAutospacing="0" w:line="413" w:lineRule="auto"/>
      <w:outlineLvl w:val="1"/>
    </w:pPr>
    <w:rPr>
      <w:rFonts w:ascii="Arial" w:eastAsia="宋体" w:hAnsi="Arial" w:cs="Times New Roman"/>
      <w:b/>
      <w:sz w:val="24"/>
    </w:rPr>
  </w:style>
  <w:style w:type="paragraph" w:styleId="Heading3">
    <w:name w:val="heading 3"/>
    <w:basedOn w:val="Normal"/>
    <w:next w:val="Normal"/>
    <w:semiHidden/>
    <w:unhideWhenUsed/>
    <w:qFormat/>
    <w:pPr>
      <w:keepNext/>
      <w:keepLines/>
      <w:widowControl/>
      <w:adjustRightInd w:val="0"/>
      <w:snapToGrid/>
      <w:spacing w:after="200" w:afterLines="200" w:line="240" w:lineRule="auto"/>
      <w:ind w:firstLine="0" w:firstLineChars="0"/>
      <w:jc w:val="center"/>
      <w:textAlignment w:val="center"/>
      <w:outlineLvl w:val="2"/>
    </w:pPr>
    <w:rPr>
      <w:rFonts w:ascii="Times New Roman" w:eastAsia="宋体" w:hAnsi="Times New Roman"/>
      <w:b/>
      <w:kern w:val="0"/>
      <w:sz w:val="24"/>
      <w:szCs w:val="21"/>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CommentText">
    <w:name w:val="annotation text"/>
    <w:basedOn w:val="Normal"/>
    <w:link w:val="a"/>
    <w:qFormat/>
    <w:pPr>
      <w:jc w:val="left"/>
    </w:pPr>
  </w:style>
  <w:style w:type="paragraph" w:styleId="Footer">
    <w:name w:val="footer"/>
    <w:basedOn w:val="Normal"/>
    <w:qFormat/>
    <w:pPr>
      <w:tabs>
        <w:tab w:val="center" w:pos="4153"/>
        <w:tab w:val="right" w:pos="8306"/>
      </w:tabs>
      <w:autoSpaceDE w:val="0"/>
      <w:autoSpaceDN w:val="0"/>
      <w:snapToGrid w:val="0"/>
      <w:jc w:val="left"/>
    </w:pPr>
    <w:rPr>
      <w:rFonts w:ascii="Times New Roman" w:eastAsia="Times New Roman" w:hAnsi="Times New Roman"/>
      <w:kern w:val="0"/>
      <w:sz w:val="18"/>
      <w:szCs w:val="18"/>
      <w:lang w:eastAsia="en-US"/>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0">
    <w:name w:val="Table Normal_0"/>
    <w:uiPriority w:val="2"/>
    <w:unhideWhenUsed/>
    <w:qFormat/>
    <w:pPr>
      <w:widowControl w:val="0"/>
      <w:autoSpaceDE w:val="0"/>
      <w:autoSpaceDN w:val="0"/>
    </w:pPr>
    <w:rPr>
      <w:sz w:val="22"/>
      <w:lang w:eastAsia="en-US"/>
    </w:rPr>
    <w:tblPr>
      <w:tblCellMar>
        <w:top w:w="0" w:type="dxa"/>
        <w:left w:w="0" w:type="dxa"/>
        <w:bottom w:w="0" w:type="dxa"/>
        <w:right w:w="0" w:type="dxa"/>
      </w:tblCellMar>
    </w:tblPr>
  </w:style>
  <w:style w:type="character" w:customStyle="1" w:styleId="a">
    <w:name w:val="批注文字 字符"/>
    <w:basedOn w:val="DefaultParagraphFont"/>
    <w:link w:val="CommentText"/>
    <w:qFormat/>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image" Target="media/image1.jpeg" /><Relationship Id="rId7" Type="http://schemas.openxmlformats.org/officeDocument/2006/relationships/image" Target="media/image2.jpeg" /><Relationship Id="rId8" Type="http://schemas.openxmlformats.org/officeDocument/2006/relationships/image" Target="media/image3.png" /><Relationship Id="rId9" Type="http://schemas.openxmlformats.org/officeDocument/2006/relationships/theme" Target="theme/theme1.xml" /></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false">
              <a:schemeClr val="phClr">
                <a:alpha val="60000"/>
              </a:schemeClr>
            </a:outerShdw>
          </a:effectLst>
        </a:effectStyle>
        <a:effectStyle>
          <a:effectLst>
            <a:reflection stA="50000" endA="300" endPos="40000" dist="25400" dir="5400000" sy="-100000" algn="bl" rotWithShape="fals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s="http://www.wps.cn/officeDocument/2013/wpsCustomData" xmlns="http://www.wps.cn/officeDocument/2013/wpsCustomData" xmlns:pkg="http://schemas.microsoft.com/office/2006/xmlPackage">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5375</Words>
  <Characters>5589</Characters>
  <Application>Microsoft Office Word</Application>
  <DocSecurity>0</DocSecurity>
  <Lines>0</Lines>
  <Paragraphs>0</Paragraphs>
  <ScaleCrop>false</ScaleCrop>
  <Company/>
  <LinksUpToDate>false</LinksUpToDate>
  <CharactersWithSpaces>5622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Qin</dc:creator>
  <cp:lastModifiedBy>Administrator</cp:lastModifiedBy>
  <cp:revision>1</cp:revision>
  <dcterms:created xsi:type="dcterms:W3CDTF">2025-06-11T08:44:00Z</dcterms:created>
  <dcterms:modified xsi:type="dcterms:W3CDTF">2025-07-08T07:01:38Z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D359A9674A6B45019725B53E0CBE6EA8</vt:lpwstr>
  </property>
  <property fmtid="{D5CDD505-2E9C-101B-9397-08002B2CF9AE}" pid="3" name="KSOProductBuildVer">
    <vt:lpwstr>2052-11.1.0.10938</vt:lpwstr>
  </property>
  <property fmtid="{D5CDD505-2E9C-101B-9397-08002B2CF9AE}" pid="4" name="KSOTemplateDocerSaveRecord">
    <vt:lpwstr>eyJoZGlkIjoiZjNjZmQyYTE1MzhlNjA5NmY1MTc4Y2YzZGE3YjVkZGIiLCJ1c2VySWQiOiI1ODc0NjU3ODQifQ==</vt:lpwstr>
  </property>
</Properties>
</file>