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2 -->
  <w:body>
    <w:p>
      <w:pPr>
        <w:pStyle w:val="Heading1"/>
        <w:keepNext/>
        <w:keepLines w:val="0"/>
        <w:pageBreakBefore/>
        <w:widowControl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240" w:lineRule="auto"/>
        <w:jc w:val="center"/>
        <w:textAlignment w:val="center"/>
        <w:rPr>
          <w:rFonts w:hint="default"/>
        </w:rPr>
      </w:pPr>
      <w:bookmarkStart w:id="0" w:name="_Toc5646"/>
      <w:r>
        <w:rPr>
          <w:rFonts w:hint="default"/>
        </w:rPr>
        <w:t>大数据管理与应用专业</w:t>
      </w:r>
      <w:r>
        <w:rPr>
          <w:rFonts w:hint="default"/>
        </w:rPr>
        <w:br/>
      </w:r>
      <w:r>
        <w:rPr>
          <w:rFonts w:hint="default"/>
        </w:rPr>
        <w:t>本科人才培养方案</w:t>
      </w:r>
      <w:bookmarkEnd w:id="0"/>
    </w:p>
    <w:p>
      <w:pPr>
        <w:numPr>
          <w:ilvl w:val="0"/>
          <w:numId w:val="0"/>
        </w:numPr>
        <w:spacing w:line="360" w:lineRule="auto"/>
        <w:ind w:firstLine="420" w:firstLineChars="0"/>
        <w:rPr>
          <w:rFonts w:ascii="黑体" w:eastAsia="黑体" w:hAnsi="黑体" w:cs="黑体" w:hint="eastAsia"/>
          <w:snapToGrid w:val="0"/>
          <w:color w:val="000000"/>
          <w:spacing w:val="0"/>
          <w:w w:val="100"/>
          <w:kern w:val="0"/>
          <w:position w:val="0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  <w:highlight w:val="none"/>
          <w:lang w:val="en-US" w:eastAsia="zh-CN"/>
        </w:rPr>
        <w:t>所属学科门类：管理学    专业类别：管理科学与工程类    专业代码：</w:t>
      </w:r>
      <w:r>
        <w:rPr>
          <w:rFonts w:ascii="Times New Roman" w:eastAsia="黑体" w:hAnsi="Times New Roman" w:cs="Times New Roman" w:hint="default"/>
          <w:b/>
          <w:bCs/>
          <w:sz w:val="24"/>
          <w:szCs w:val="24"/>
          <w:highlight w:val="none"/>
          <w:lang w:val="en-US" w:eastAsia="zh-CN"/>
        </w:rPr>
        <w:t>120108T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 w:firstLineChars="200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山东理工大学大数据管理与应用专业于2022年获批，自2023年开始招生，依托山东理工大学管理学院管理科学与工程一级学科。管理科学与工程学科于2003年获批硕士学位授予权，2013年获批山东理工大学“一级学科重点支持计划”，是山东省高水平应用型核心专业（群）支撑专业和山东省名校工程建设专业所在学科，2019年获批工程管理（MEM）专业学位硕士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360" w:lineRule="auto"/>
        <w:textAlignment w:val="auto"/>
        <w:outlineLvl w:val="2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sz w:val="24"/>
        </w:rPr>
        <w:t>一、专业培养目标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本专业培养思想政治素质过硬、德智体美劳全面发展的社会主义建设者和接班人，能够系统掌握管理学、经济学、统计学、计算机科学基本理论，具备数据科学与大数据技术基础知识，能够综合运用大数据采集与处理、管理业务问题数据建模与智能分析、数据可视化展示与管理决策的理论和方法，具备扎实的数理基础、敏锐的数据洞察力、先进的数据处理与分析技术、以及卓越的管理决策能力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学生在毕业后5年左右预期能够实现以下目标：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74" w:firstLine="400" w:leftChars="0" w:rightChars="0" w:firstLineChars="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1．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具备社会责任感、健康的身心和良好的人文素养，理解并坚守职业道德规范，综合考虑法律、环境与可持续性发展等因素影响，坚持公众利益优先；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74" w:firstLine="400" w:leftChars="0" w:rightChars="0" w:firstLineChars="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2．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备初级数据分析师的能力，具有扎实的数理基础、计算机、经济管理、数据科学专业知识，并能融会贯通，形成系统化的计算思维、信息思维和数据思维，解决政府、企业等组织运行管理中的数据管理、数据分析及决策支持问题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74" w:firstLine="400" w:leftChars="0" w:rightChars="0" w:firstLineChars="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3．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备初级数据工程师的能力，能够跟踪并适应大数据、物联网等技术和管理变革发展趋势的能力，能够运用创新理念，选择、使用与开发恰当的计算机编程工具、数据建模工具、数据挖掘和智能分析工具，开展针对大数据管理与应用领域复杂问题的计算、测试、预测与模拟，并能够理解其局限性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74" w:firstLine="400" w:leftChars="0" w:rightChars="0" w:firstLineChars="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4．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备初级数据架构师的能力，能够设计数据科学工程领域复杂问题的数字化管理创新方案的能力，开发满足特定功能需求的数字化产品，并能够在设计环节体现创新意识，考虑社会、健康、安全、法律、文化以及环境等因素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right="74" w:firstLine="400" w:leftChars="0" w:rightChars="0" w:firstLineChars="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val="en-US" w:eastAsia="zh-CN" w:bidi="ar-SA"/>
        </w:rPr>
        <w:t>5．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具备良好的沟通、协调、管理、竞争与合作能力，具有全球化意识和国际视野，拥有自主的、终生的学习习惯和能力，能够通过自主学习持续提升自己的综合素质和专业能力，不断适应社会发展。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360" w:lineRule="auto"/>
        <w:textAlignment w:val="auto"/>
        <w:outlineLvl w:val="2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sz w:val="24"/>
        </w:rPr>
        <w:t>二、毕业要求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本专业毕业生应具有良好的思想道德品质，掌握宽广的数据处理技术、经济管理、数理分析、信息技术等领域的专业知识和技能，可以从海量（Volume）、高速（Velocity）、多样（Variety）、低价值密度（Value）、真实性（Veracity）的“5V”大数据中提取有价值的信息和知识，并将其转化为驱动组织创新、优化运营、提升效率和创造价值的实际解决方案的综合能力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/>
        <w:spacing w:line="360" w:lineRule="auto"/>
        <w:ind w:firstLine="420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毕业要求 1：思想品德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lang w:eastAsia="zh-CN"/>
        </w:rPr>
        <w:t>—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具有人文社会科学素养、社会责任感，践行社会主义核心价值观，能够在实践中理解并遵守职业道德和规范，履行责任，并在相关专业理论与实践方面初步具备创新创业能力。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1.1：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了解中国历史发展过程和基本国情，具有哲学、历史、人文素养和正确的世界观、人生观、价值观，理解个人和社会的关系，能够正确地自我认知和评价。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1.2：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具有健康的心理素质和体魄、自我调节能力、自主学习能力、主动适应社会和行业发展的能力，具备终身学习的思维和行动能力。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1.3：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了解大数据行业相关的法律法规、知识产权、技术标准和产业政策。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1.4：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遵守中华传统美德和公序良俗，具有社会责任感和担当精神，能够在实践中理解和遵守数据分析师、数据工程师、数据架构师的职业道德和规范，履行责任。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1.5：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具备较强的创新思维意识，敢于挑战自我，能够运用专业知识发现工程问题中的缺失点，进行大胆创新，并有意识有能力转化为创业项目。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/>
        <w:spacing w:line="360" w:lineRule="auto"/>
        <w:ind w:firstLine="420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毕业要求 2：数据科学能力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lang w:eastAsia="zh-CN"/>
        </w:rPr>
        <w:t>—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熟悉数学、统计学、计算机科学和数据科学的基本知识，并能用于解决企业和组织运行管理中的数据管理、数据分析及决策支持问题。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2.1：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掌握数学、统计学、计算机科学等通识基础知识，能够运用到数据管理问题的合理表述中。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2.2：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掌握数据挖掘、数据科学、数据治理等基础知识，能够正确表述数据科学问题和目标，并针对具体研究对象建立数据模型，通过模型分析数据、解释数据，对管理问题进行预测和决策。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2.3：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掌握数据统计分析、文本分析与挖掘、社会网络分析等专业基础知识，能够将相关知识与数学模型方法用于推演、分析数据管理问题。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2.4：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掌握计算机网络、物联网、云计算等专业基础知识，能够用相关知识与方法解决数据采集、数据传输、数据融合、数据存储、数据共享等数据管理需求，并用科学方法评价数据组织、数据安全和数据价值等治理成效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/>
        <w:spacing w:line="360" w:lineRule="auto"/>
        <w:ind w:firstLine="420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毕业要求 3：程序开发能力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lang w:eastAsia="zh-CN"/>
        </w:rPr>
        <w:t>—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能够开发、选择和使用计算机编程工具、数据挖掘和数据分析工具，针对数据管理与应用问题的计算、测试、预测与模拟，并能够理解其局限性。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3.1：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掌握数据科学与计算机科学领域常用的主流编程语言，了解领域内的主流工具和软件的使用原理和方法，并理解其局限性。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3.2：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能够开发、选择与使用恰当工具和专业软件等，进行数据采集、数据清洗、数据探索、数据建模、模型测试及数据可视化展示，并能够分析结论和提出解决方案。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/>
        <w:spacing w:line="360" w:lineRule="auto"/>
        <w:ind w:firstLine="420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毕业要求 4：工程素质能力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lang w:eastAsia="zh-CN"/>
        </w:rPr>
        <w:t>—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具备综合运用管理科学、大数据技术和工程方法解决相关管理问题的基本能力，能够设计针对数据管理问题的数字化管理创新方案，设计满足特定功能需求的数据产品。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4.1：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掌握数据产品设计和开发全周期、全流程的基本方法和技术，了解影响设计目标和技术方案的各种因素，能够根据市场需求和技术发展进行产品的整体规划，并设计解决方案。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4.2：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能够设计开发满足特定功能需求的数据采集系统、数据分析系统、数据可视化系统、智能决策系统等数据产品，并提出数字化技术条件下的管理模式、业务流程等创新方案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4.3：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能够在多学科环境下，将管理学原理和经济决策方法应用于数据管理工程项目论证、规划、组织实施和运维管理等过程。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4.4：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能够在经管领域数据管理问题的解决方案中考虑安全、法律、文化等诸多制约因素，能够评价大数据技术、数据产品、数字化管理等对社会经济发展的影响。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/>
        <w:spacing w:line="360" w:lineRule="auto"/>
        <w:ind w:firstLine="420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毕业要求 5：研究学习能力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lang w:eastAsia="zh-CN"/>
        </w:rPr>
        <w:t>—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具备独立自主的获取和更新大数据管理与应用专业相关知识、技能的学习能力。通过自主学习，能够对数据管理问题进行系统性研究，包括方案调研、设计实验、组织实施、分析与解释数据，并通过综合分析得到合理有效的结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5.1：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能够应用跨学科理论和方法，调研和分析数据管理问题的技术方案，并评价所采取技术方案的可行性。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5.2：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能够明晰待解决的领域和行业问题，合理地选择研究路线，设计实验方案并构建实验系统。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5.3：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能够正确分析和解释实验结果，并能够通过综合分析得到有效结论。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/>
        <w:spacing w:line="360" w:lineRule="auto"/>
        <w:ind w:firstLine="420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毕业要求 6：大数据分析与应用能力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lang w:eastAsia="zh-CN"/>
        </w:rPr>
        <w:t>—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掌握管理学和经济学的基本知识和理论，能够识别、表达企业和组织中的数据管理问题，提出解决方案并得出有益结论。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6.1：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具备一定的经济常识和经济学思维，能够基于经济学知识和方法，发现和提出大数据时代市场、价格、消费等经济系统中的回归、分类、预测和决策问题，能用数据模型进行推演和分析，对结果进行比较和综合。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6.2：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备大数据时代下架构设计、经营决策、财务管理、营销管理、运作流程和管理优化等基础知识，能正确表述数字化、智能化背景下的企业管理问题，能识别和分析企业数字化转型中的管理创新问题，寻求可替代的解决方案并获得有效结论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6.3：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能够理解国家、地方关于数字化转型的理念和政策，能够根据问题所涉及经管领域特点，对不同类型文献及互联网资源等进行检索、整理和归纳，初步形成跨学科的思维，借鉴多学科知识、技术和观点分析数据管理问题，提出可行方案并获得有效结论。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napToGrid/>
        <w:spacing w:line="360" w:lineRule="auto"/>
        <w:ind w:firstLine="420"/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毕业要求 7：合作沟通能力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  <w:lang w:eastAsia="zh-CN"/>
        </w:rPr>
        <w:t>—</w:t>
      </w:r>
      <w:r>
        <w:rPr>
          <w:rFonts w:ascii="Times New Roman" w:hAnsi="Times New Roman" w:cs="Times New Roman" w:hint="default"/>
          <w:b/>
          <w:spacing w:val="0"/>
          <w:w w:val="100"/>
          <w:kern w:val="0"/>
          <w:position w:val="0"/>
        </w:rPr>
        <w:t>能够参与跨学科背景下的团队工作，在数据管理与应用实践中承担个体、团队成员以及负责人的角色，并有效开展工作。能够与业界同行及社会公众就数据管理问题进行有效沟通和交流，并具备一定的国际视野。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7.1：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能够理解不同学科在数据行业相关领域的作用和价值，能够与其他学科的成员有效沟通、合作共事。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7.2：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具有大局意识、协作意识和服务精神，能够在数据管理实践团队中独立或合作开展工作，能够组织、协调和指挥团队开展工作。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7.3：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能够围绕数据管理问题，以口头、文稿、图表等方式，准确清晰地表达观点或回应质疑，并理解与业界同行及社会公众交流的差异性。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</w:pPr>
      <w:r>
        <w:rPr>
          <w:rFonts w:ascii="Times New Roman" w:hAnsi="Times New Roman" w:cs="Times New Roman" w:hint="default"/>
          <w:b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内涵观测点 7.4：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了解大数据管理与应用专业的国内外发展趋势、研究热点，理解和尊重不同文化之间的差异性和多样性，并具备跨文化交流的语言和书面表达能力，能够在跨文化背景下进行专业问题的基本沟通和交流。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360" w:lineRule="auto"/>
        <w:textAlignment w:val="auto"/>
        <w:outlineLvl w:val="2"/>
        <w:rPr>
          <w:rFonts w:ascii="Times New Roman" w:hAnsi="Times New Roman" w:cs="Times New Roman" w:hint="default"/>
          <w:b/>
          <w:bCs w:val="0"/>
          <w:spacing w:val="0"/>
          <w:w w:val="100"/>
          <w:kern w:val="0"/>
          <w:position w:val="0"/>
          <w:sz w:val="24"/>
        </w:rPr>
      </w:pPr>
      <w:r>
        <w:rPr>
          <w:rFonts w:ascii="Times New Roman" w:hAnsi="Times New Roman" w:cs="Times New Roman" w:hint="default"/>
          <w:b/>
          <w:bCs w:val="0"/>
          <w:spacing w:val="0"/>
          <w:w w:val="100"/>
          <w:kern w:val="0"/>
          <w:position w:val="0"/>
          <w:sz w:val="24"/>
        </w:rPr>
        <w:t>三、毕业及学位要求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  <w:lang w:eastAsia="zh-CN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学制：4年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  <w:lang w:eastAsia="zh-CN"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  <w:lang w:eastAsia="zh-CN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修业年限： 3~6年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  <w:lang w:eastAsia="zh-CN"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  <w:lang w:eastAsia="zh-CN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毕业学分要求：不少于162学分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  <w:lang w:eastAsia="zh-CN"/>
        </w:rPr>
        <w:t>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4"/>
          <w:position w:val="0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Cs w:val="21"/>
        </w:rPr>
        <w:t>授予学位：符合国家学位规定和山东理工大学学士学位授予条件者，授</w:t>
      </w: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4"/>
          <w:position w:val="0"/>
          <w:szCs w:val="21"/>
        </w:rPr>
        <w:t>予管理学学士学位。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before="159" w:beforeLines="50" w:after="159" w:afterLines="50" w:line="360" w:lineRule="auto"/>
        <w:textAlignment w:val="auto"/>
        <w:outlineLvl w:val="2"/>
        <w:rPr>
          <w:rFonts w:ascii="Times New Roman" w:hAnsi="Times New Roman" w:cs="Times New Roman" w:hint="default"/>
          <w:b/>
          <w:spacing w:val="0"/>
          <w:w w:val="100"/>
          <w:kern w:val="4"/>
          <w:position w:val="0"/>
          <w:sz w:val="24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4"/>
          <w:position w:val="0"/>
          <w:sz w:val="24"/>
        </w:rPr>
        <w:t>四、课程设置</w:t>
      </w:r>
    </w:p>
    <w:p>
      <w:pPr>
        <w:spacing w:before="159" w:beforeLines="50" w:after="159" w:afterLines="50" w:line="360" w:lineRule="auto"/>
        <w:ind w:firstLine="420" w:firstLineChars="200"/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  <w: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  <w:t>(一) 主干学科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eastAsia="宋体" w:hAnsi="Times New Roman" w:cs="Times New Roman" w:hint="default"/>
          <w:snapToGrid w:val="0"/>
          <w:color w:val="000000"/>
          <w:spacing w:val="0"/>
          <w:w w:val="100"/>
          <w:kern w:val="4"/>
          <w:position w:val="0"/>
          <w:szCs w:val="21"/>
          <w:lang w:eastAsia="zh-CN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4"/>
          <w:position w:val="0"/>
          <w:szCs w:val="21"/>
        </w:rPr>
        <w:t>管理科学与工程</w:t>
      </w:r>
    </w:p>
    <w:p>
      <w:pPr>
        <w:spacing w:before="159" w:beforeLines="50" w:after="159" w:afterLines="50" w:line="360" w:lineRule="auto"/>
        <w:ind w:firstLine="420" w:firstLineChars="200"/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  <w: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  <w:t>(二) 核心课程及主要实践性教学环节</w:t>
      </w:r>
    </w:p>
    <w:p>
      <w:pPr>
        <w:spacing w:before="159" w:beforeLines="50" w:after="159" w:afterLines="50"/>
        <w:ind w:firstLine="420" w:firstLineChars="200"/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  <w: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  <w:t>1、核心课程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</w:rPr>
        <w:t>管理学原理、管理运筹学、大数据管理与应用专业导论、Python编程基础、数据库原理及应用、数据科学统计基础、数据结构与算法分析、数据采集与处理、数据可视化、数据仓库与数据挖掘、管理信息系统、大数据智能分析理论与方法、大数据计量经济分析、大数据管理方法与应用、ERP原理与应用等。</w:t>
      </w:r>
    </w:p>
    <w:p>
      <w:pPr>
        <w:spacing w:before="159" w:beforeLines="50" w:after="159" w:afterLines="50" w:line="360" w:lineRule="auto"/>
        <w:ind w:firstLine="420" w:firstLineChars="200"/>
        <w:rPr>
          <w:rFonts w:ascii="Times New Roman" w:hAnsi="Times New Roman" w:cs="Times New Roman" w:hint="default"/>
          <w:b/>
          <w:bCs/>
          <w:spacing w:val="0"/>
          <w:w w:val="100"/>
          <w:kern w:val="0"/>
          <w:position w:val="0"/>
          <w:sz w:val="21"/>
        </w:rPr>
      </w:pPr>
      <w:r>
        <w:rPr>
          <w:rFonts w:ascii="Times New Roman" w:hAnsi="Times New Roman" w:cs="Times New Roman" w:hint="default"/>
          <w:b/>
          <w:bCs/>
          <w:spacing w:val="0"/>
          <w:w w:val="100"/>
          <w:kern w:val="0"/>
          <w:position w:val="0"/>
          <w:sz w:val="21"/>
        </w:rPr>
        <w:t>2、主要实践性教学环节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</w:r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0"/>
          <w:position w:val="0"/>
          <w:sz w:val="21"/>
          <w:szCs w:val="21"/>
        </w:rPr>
        <w:t>入学教育及军训、Python程序设计实训、劳动教育实践、数据库应用基础课程设计(B)、企业管理模拟实习、Java程序设计实训、管理信息系统课程设计(B)、思想政治理论课实践教学、工程训练(C)、数据挖掘课程设计、沙盘模拟实习(B)、大数据系统开发实训、大数据算法应用实训、商务数据创新应用实训、大数据管理与应用专业毕业论文与毕业设计、大数据管理与应用专业实习等。</w:t>
      </w:r>
    </w:p>
    <w:p>
      <w:pPr>
        <w:spacing w:before="159" w:beforeLines="50" w:after="159" w:afterLines="50"/>
        <w:ind w:firstLine="420" w:firstLineChars="200"/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  <w: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  <w:t>(三) 课程学分安排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2181"/>
        <w:gridCol w:w="2819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/>
          <w:jc w:val="center"/>
        </w:trPr>
        <w:tc>
          <w:tcPr>
            <w:tcW w:w="2663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00" w:lineRule="auto"/>
              <w:ind w:left="0" w:right="0"/>
              <w:jc w:val="center"/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pacing w:val="0"/>
                <w:w w:val="100"/>
                <w:kern w:val="4"/>
                <w:position w:val="0"/>
                <w:sz w:val="21"/>
                <w:szCs w:val="21"/>
                <w:lang w:val="en-US" w:eastAsia="zh-CN"/>
              </w:rPr>
              <w:t>课程类别</w:t>
            </w:r>
          </w:p>
        </w:tc>
        <w:tc>
          <w:tcPr>
            <w:tcW w:w="21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pacing w:val="0"/>
                <w:w w:val="100"/>
                <w:kern w:val="4"/>
                <w:position w:val="0"/>
                <w:sz w:val="21"/>
                <w:szCs w:val="21"/>
                <w:lang w:eastAsia="en-US"/>
              </w:rPr>
              <w:t>应修学分</w:t>
            </w:r>
          </w:p>
        </w:tc>
        <w:tc>
          <w:tcPr>
            <w:tcW w:w="28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pacing w:val="0"/>
                <w:w w:val="100"/>
                <w:kern w:val="4"/>
                <w:position w:val="0"/>
                <w:sz w:val="21"/>
                <w:szCs w:val="21"/>
                <w:lang w:eastAsia="en-US"/>
              </w:rPr>
              <w:t>学分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占比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通识教育课程模块</w:t>
            </w:r>
          </w:p>
        </w:tc>
        <w:tc>
          <w:tcPr>
            <w:tcW w:w="21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44.5</w:t>
            </w:r>
          </w:p>
        </w:tc>
        <w:tc>
          <w:tcPr>
            <w:tcW w:w="2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27.47</w:t>
            </w: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%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学科基础课</w:t>
            </w:r>
          </w:p>
        </w:tc>
        <w:tc>
          <w:tcPr>
            <w:tcW w:w="21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25.5</w:t>
            </w:r>
          </w:p>
        </w:tc>
        <w:tc>
          <w:tcPr>
            <w:tcW w:w="2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15.74</w:t>
            </w: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%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专业教育课程模块</w:t>
            </w:r>
          </w:p>
        </w:tc>
        <w:tc>
          <w:tcPr>
            <w:tcW w:w="21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54.5</w:t>
            </w:r>
          </w:p>
        </w:tc>
        <w:tc>
          <w:tcPr>
            <w:tcW w:w="2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33.64</w:t>
            </w: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%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集中实践环节模块</w:t>
            </w:r>
          </w:p>
        </w:tc>
        <w:tc>
          <w:tcPr>
            <w:tcW w:w="218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37.5</w:t>
            </w:r>
          </w:p>
        </w:tc>
        <w:tc>
          <w:tcPr>
            <w:tcW w:w="28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23.15</w:t>
            </w:r>
            <w:r>
              <w:rPr>
                <w:rFonts w:ascii="Times New Roman" w:eastAsia="仿宋" w:hAnsi="Times New Roman" w:cs="Times New Roman" w:hint="default"/>
                <w:color w:val="auto"/>
                <w:sz w:val="21"/>
                <w:szCs w:val="21"/>
                <w:highlight w:val="none"/>
                <w:vertAlign w:val="baseline"/>
                <w:lang w:val="en-US" w:eastAsia="zh-CN"/>
              </w:rPr>
              <w:t>%</w:t>
            </w:r>
          </w:p>
        </w:tc>
      </w:tr>
    </w:tbl>
    <w:p>
      <w:pP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4"/>
        <w:gridCol w:w="2181"/>
        <w:gridCol w:w="2956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 w:leftChars="0" w:firstLineChars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分项统计</w:t>
            </w:r>
          </w:p>
        </w:tc>
        <w:tc>
          <w:tcPr>
            <w:tcW w:w="218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 w:leftChars="0" w:firstLineChars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学分</w:t>
            </w:r>
          </w:p>
        </w:tc>
        <w:tc>
          <w:tcPr>
            <w:tcW w:w="295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 w:leftChars="0" w:firstLineChars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学分占比</w:t>
            </w: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  <w:t>应修的实践学分</w:t>
            </w:r>
          </w:p>
        </w:tc>
        <w:tc>
          <w:tcPr>
            <w:tcW w:w="218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  <w:t>42.5</w:t>
            </w:r>
          </w:p>
        </w:tc>
        <w:tc>
          <w:tcPr>
            <w:tcW w:w="2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 w:leftChars="0" w:firstLineChars="0"/>
              <w:jc w:val="center"/>
              <w:textAlignment w:val="auto"/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  <w:t>26.23%</w:t>
            </w:r>
          </w:p>
        </w:tc>
      </w:tr>
      <w:tr>
        <w:tblPrEx>
          <w:tblW w:w="0" w:type="auto"/>
          <w:jc w:val="cente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54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Theme="minorEastAsia" w:eastAsiaTheme="minorEastAsia" w:hAnsiTheme="minorEastAsia" w:cstheme="minorEastAsia" w:hint="eastAsia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  <w:t>开设的选修课程</w:t>
            </w:r>
          </w:p>
        </w:tc>
        <w:tc>
          <w:tcPr>
            <w:tcW w:w="218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center"/>
              <w:textAlignment w:val="auto"/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  <w:t>34</w:t>
            </w:r>
          </w:p>
        </w:tc>
        <w:tc>
          <w:tcPr>
            <w:tcW w:w="2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 w:firstLine="0" w:leftChars="0" w:firstLineChars="0"/>
              <w:jc w:val="center"/>
              <w:textAlignment w:val="auto"/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Theme="minorEastAsia" w:cs="Times New Roman" w:hint="default"/>
                <w:color w:val="auto"/>
                <w:kern w:val="2"/>
                <w:sz w:val="21"/>
                <w:szCs w:val="21"/>
                <w:highlight w:val="none"/>
                <w:vertAlign w:val="baseline"/>
                <w:lang w:val="en-US" w:eastAsia="zh-CN"/>
              </w:rPr>
              <w:t>20.99%</w:t>
            </w:r>
          </w:p>
        </w:tc>
      </w:tr>
    </w:tbl>
    <w:p>
      <w:pP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360" w:lineRule="auto"/>
        <w:ind w:firstLine="420" w:firstLineChars="200"/>
        <w:textAlignment w:val="auto"/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</w:pPr>
      <w:r>
        <w:rPr>
          <w:rFonts w:ascii="Times New Roman" w:hAnsi="Times New Roman" w:cs="Times New Roman" w:hint="default"/>
          <w:b/>
          <w:bCs/>
          <w:spacing w:val="0"/>
          <w:w w:val="100"/>
          <w:kern w:val="4"/>
          <w:position w:val="0"/>
        </w:rPr>
        <w:t>(四) 第二课堂</w:t>
      </w:r>
    </w:p>
    <w:p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right="74" w:firstLine="420"/>
        <w:jc w:val="left"/>
        <w:textAlignment w:val="baseline"/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4"/>
          <w:position w:val="0"/>
          <w:szCs w:val="21"/>
        </w:rPr>
        <w:sectPr>
          <w:footerReference w:type="default" r:id="rId5"/>
          <w:pgSz w:w="11905" w:h="16838"/>
          <w:pgMar w:top="1417" w:right="1134" w:bottom="1417" w:left="1134" w:header="850" w:footer="850" w:gutter="0"/>
          <w:pgNumType w:fmt="decimal" w:start="1"/>
          <w:cols w:num="1" w:space="0"/>
          <w:rtlGutter w:val="0"/>
          <w:docGrid w:type="linesAndChars" w:linePitch="318" w:charSpace="0"/>
        </w:sectPr>
      </w:pPr>
      <w:r>
        <w:rPr>
          <w:rFonts w:ascii="Times New Roman" w:hAnsi="Times New Roman" w:cs="Times New Roman" w:hint="default"/>
          <w:snapToGrid w:val="0"/>
          <w:color w:val="000000"/>
          <w:spacing w:val="0"/>
          <w:w w:val="100"/>
          <w:kern w:val="4"/>
          <w:position w:val="0"/>
          <w:szCs w:val="21"/>
          <w:lang w:eastAsia="zh-CN"/>
        </w:rPr>
        <w:t>第二课堂活动全方位育人，协同支撑专业毕业要求达成，分模块进行分类记录和管理，不少于8学分，包含三周劳动实践。第二课堂学分不计入总学分。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before="156" w:beforeLines="50" w:after="156" w:afterLines="50" w:line="360" w:lineRule="auto"/>
        <w:textAlignment w:val="auto"/>
        <w:outlineLvl w:val="2"/>
        <w:rPr>
          <w:rFonts w:ascii="Times New Roman" w:hAnsi="Times New Roman" w:cs="Times New Roman" w:hint="default"/>
          <w:b/>
          <w:spacing w:val="0"/>
          <w:w w:val="100"/>
          <w:kern w:val="4"/>
          <w:position w:val="0"/>
          <w:sz w:val="24"/>
        </w:rPr>
      </w:pPr>
      <w:r>
        <w:rPr>
          <w:rFonts w:ascii="Times New Roman" w:hAnsi="Times New Roman" w:cs="Times New Roman" w:hint="default"/>
          <w:b/>
          <w:spacing w:val="0"/>
          <w:w w:val="100"/>
          <w:kern w:val="4"/>
          <w:position w:val="0"/>
          <w:sz w:val="24"/>
        </w:rPr>
        <w:t>五、专业课程设置一览表（中英文对照）</w:t>
      </w:r>
    </w:p>
    <w:tbl>
      <w:tblPr>
        <w:tblStyle w:val="TableNormal"/>
        <w:tblW w:w="9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9"/>
        <w:gridCol w:w="487"/>
        <w:gridCol w:w="1116"/>
        <w:gridCol w:w="883"/>
        <w:gridCol w:w="621"/>
        <w:gridCol w:w="753"/>
        <w:gridCol w:w="751"/>
        <w:gridCol w:w="571"/>
        <w:gridCol w:w="605"/>
        <w:gridCol w:w="531"/>
        <w:gridCol w:w="567"/>
        <w:gridCol w:w="709"/>
        <w:gridCol w:w="524"/>
        <w:gridCol w:w="1007"/>
      </w:tblGrid>
      <w:tr>
        <w:tblPrEx>
          <w:tblW w:w="958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tblHeader/>
          <w:jc w:val="center"/>
        </w:trPr>
        <w:tc>
          <w:tcPr>
            <w:tcW w:w="946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课程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类别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课程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代码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课程名称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学分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总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学时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理论学时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实验实践学时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开课</w:t>
            </w:r>
          </w:p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学期</w:t>
            </w:r>
          </w:p>
        </w:tc>
        <w:tc>
          <w:tcPr>
            <w:tcW w:w="10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备注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231811001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思想道德与法治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Ideology, Morality, and Rule of Law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231811003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形势与政策Ⅰ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Situation and Policy 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211811004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中国近现代史纲要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Outline of Modern Chinese History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231811002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马克思主义基本原理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Basic Principles of Marxism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211811008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习近平新时代中国特色社会主义思想概论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Xi Jinping's Introduction to Socialism with Chinese Characteristics in the New Era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211811009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毛泽东思想和中国特色社会主义理论体系概论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Mao Zedong Thought &amp; Outline of Theory of Socialism With Chinese Characteristics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231811004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形势与政策Ⅱ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Situation and Policy II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231811005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形势与政策Ⅲ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Situation and Policy III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231811006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形势与政策Ⅳ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Situation and Policy IV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211812001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中国共产党史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History of the Communist Party of China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四选一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211812002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中华人民共和国史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History of the People's Republic of China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四选一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211812003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改革开放史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History of Reform and Opening Up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四选一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211812004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社会主义发展史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History of Socialist Development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四选一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213111001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军事理论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Military Theory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232111001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体育Ⅰ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Physical Education Ⅰ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232111002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体育Ⅱ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Physical Education Ⅱ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232111005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体育Ⅴ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Physical Education Ⅴ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0.25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232111006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体育Ⅵ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Physical Education Ⅵ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0.25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232111003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体育Ⅲ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Physical Education Ⅲ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选修运动项目2学分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军体课程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232111004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体育Ⅳ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Physical Education Ⅳ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选修运动项目2学分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外语课程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211611005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大学英语听说Ⅰ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College English Listening and SpeakingⅠ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外语课程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251611001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大学英语读写Ⅰ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College English Reading and WritingⅠ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外语课程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211611006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大学英语听说Ⅱ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College English Listening and SpeakingⅡ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外语课程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251611002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大学英语读写Ⅱ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College English Reading and Writing II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外语课程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251611004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新文科大学英语Ⅰ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College English for New Liberal Arts Ⅰ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外语课程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251611006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新文科大学英语Ⅱ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College English for New Liberal Arts Ⅱ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信息课程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230518004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计算思维与人工智能导论(B)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Computational Thinking and Introduction to  Artificial Intelligence(B)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24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信息课程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252718001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信息检索与数智素养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Information Retrieval and Digital-Intelligent Literacy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238112001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大学生心理健康教育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Psychological Health Education for College Students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选修至少10学分，至少选修2学分美育课程，至少选修2学分科学技术类课程。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X1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美育限选课(学生自选)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选修至少10学分，至少选修2学分美育课程，至少选修2学分科学技术类课程。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X2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科学技术类(学生自选)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选修至少10学分，至少选修2学分美育课程，至少选修2学分科学技术类课程。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211811011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大学生国家安全教育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National Security Education for College Students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选修至少10学分，至少选修2学分美育课程，至少选修2学分科学技术类课程。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232612001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中国传统文化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Traditional Chinese Culture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选修至少10学分，至少选修2学分美育课程，至少选修2学分科学技术类课程。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232612002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大学生劳动教育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Labor Education for University Students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选修至少10学分，至少选修2学分美育课程，至少选修2学分科学技术类课程。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258322001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大学生职业生涯规划与就业指导I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Career Planning and Employment Guidance for College StudentsI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0.25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选修至少10学分，至少选修2学分美育课程，至少选修2学分科学技术类课程。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258322002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大学生职业生涯规划与就业指导II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Career Planning and Employment Guidance for College StudentsII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0.25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选修至少10学分，至少选修2学分美育课程，至少选修2学分科学技术类课程。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258322003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大学生职业生涯规划与就业指导III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Career Planning and Employment Guidance for College StudentsIII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0.25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选修至少10学分，至少选修2学分美育课程，至少选修2学分科学技术类课程。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X8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其他公选类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选修至少10学分，至少选修2学分美育课程，至少选修2学分科学技术类课程。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通识教育选修课程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238322004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大学生职业生涯规划与就业指导IV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Career Planning and Employment Guidance for College StudentsIV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0.25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选修至少10学分，至少选修2学分美育课程，至少选修2学分科学技术类课程。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2062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应修学分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44.5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必修学分</w:t>
            </w:r>
          </w:p>
        </w:tc>
        <w:tc>
          <w:tcPr>
            <w:tcW w:w="170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29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选修学分</w:t>
            </w:r>
          </w:p>
        </w:tc>
        <w:tc>
          <w:tcPr>
            <w:tcW w:w="153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15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211118901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高等数学(A)Ⅰ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Advanced Mathematics (A)Ⅰ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211118902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高等数学(A)Ⅱ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Advanced Mathematics (A)Ⅱ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211118910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线性代数(B)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Linear Algebra (B)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211118913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概率论与数理统计(D)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Probability Theory and Mathematical Statistics (D)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211418019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管理学原理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Principles of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211418024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会计学原理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Fundamentals of Accounting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231314034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微观经济学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Micro-economics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学科基础课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211418056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管理运筹学(B)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Managerial Operations Research (B)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2062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应修学分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25.5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必修学分</w:t>
            </w:r>
          </w:p>
        </w:tc>
        <w:tc>
          <w:tcPr>
            <w:tcW w:w="170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25.5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选修学分</w:t>
            </w:r>
          </w:p>
        </w:tc>
        <w:tc>
          <w:tcPr>
            <w:tcW w:w="153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237412001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创新方法基础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Fundamentals of Innovation Methods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大数据管理与应用专业导论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Introduction to Big Data Management and Application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251411031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Python 编程基础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Python Programming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251411032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JAVA程序设计基础I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JAVA Programming Basis 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231418103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数据采集与处理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Data Collection and Processing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231418104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数据科学统计基础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Statistical Foundations of Data Science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237412002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大学生创业基础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Fundamentals of Entrepreneurship for College Students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251411033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数据库原理及应用(A)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Database Principles &amp; Applications(A)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64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251411034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JAVA程序设计基础II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JAVA Programming Basis II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231418105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UI设计基础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Fundamentals of UI Design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251411035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数据结构与算法分析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Data Structure &amp; Algorithm Analysis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251411036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数据仓库与数据挖掘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Data Warehouse and Data Mining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251411037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管理信息系统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Management Information System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211418176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数据可视化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Data Visualization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231418108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大数据管理方法与应用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Big Data Management Method and Application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211418172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文本分析与文本挖掘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Text Mining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231418111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ERP原理与应用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ERP Theory and Application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251411038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大数据智能分析理论与方法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Big Data Intelligent Analysis Theory and Method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251411039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大数据计量经济分析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Big Data Econometric Analysis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专业必修课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必修学分</w:t>
            </w:r>
          </w:p>
        </w:tc>
        <w:tc>
          <w:tcPr>
            <w:tcW w:w="7522" w:type="dxa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40.5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211418186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IT治理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IT Governance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231418112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商务数据分析方法与工具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Business Data Analysis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231418114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大数据思维与数据治理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Big Data Governance Theory and Method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231418117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大数据安全管理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Big Data Security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231418336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计算机网络基础与应用(B)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Basic Computer Network &amp;amp; Applications(B)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231418337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基于web的数据产品开发技术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Web Information System Development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251411040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数据质量管理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Data Quality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211418183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Unix/Linux基础技术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Unix / Linux Basic Technology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211418188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信息经济学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Information Economics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211418192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大数据营销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Big data marketing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212338035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电子商务(C)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Electronic Commerce （C）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231418115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商务智能与人工智能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Business Intelligence and Artificial Intelligence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231418116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财务数据挖掘与分析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Financial Data Mining and Analysis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231418121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基于移动端的数据产品开发技术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APP Development for Mobile Terminal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211418177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物联网与云计算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IoT and Cloud Computing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211418178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社会化网络分析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Social Network Analysis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231418120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商务数据分析前沿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Frontiers in Business Data Analysis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32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459" w:type="dxa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专业教育课程模块</w:t>
            </w:r>
          </w:p>
        </w:tc>
        <w:tc>
          <w:tcPr>
            <w:tcW w:w="48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exact"/>
              <w:ind w:left="0" w:right="0"/>
              <w:jc w:val="center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专业选修课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选修学分</w:t>
            </w:r>
          </w:p>
        </w:tc>
        <w:tc>
          <w:tcPr>
            <w:tcW w:w="7522" w:type="dxa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2062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应修学分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54.5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必修学分</w:t>
            </w:r>
          </w:p>
        </w:tc>
        <w:tc>
          <w:tcPr>
            <w:tcW w:w="170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40.5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选修学分</w:t>
            </w:r>
          </w:p>
        </w:tc>
        <w:tc>
          <w:tcPr>
            <w:tcW w:w="153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213124001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入学教育及军训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Entrance Orientation &amp; Military Training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231414101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Python程序设计实训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Python Programming Trainning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233114001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劳动教育实践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Labor Education Practice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211414101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企业管理模拟实习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Simulated Practice of Business Management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211414153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数据库应用基础课程设计(B)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Course Exercise in Basic of Database Application (B)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231414102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Java程序设计实训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Program Design Training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211414163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管理信息系统课程设计(B)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Course Exercise in Management Information System (B)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211814010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思想政治理论课实践教学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The Practice of Ideological and Political Theory Course Teaching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2.5周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212814003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工程训练(C)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Engineering training (C)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231414103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数据挖掘课程设计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Course Exercise in Data Mining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211414164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沙盘模拟实习(B)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Sand Table Exercise (B)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231414105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大数据算法应用实训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Big Data Algorithm Application Training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231414107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商务数据创新应用实训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Business Data Analysis Innovation Application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4.0周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231414111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大数据管理与应用专业毕业论文与毕业设计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Graduation Project for BDA Majors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14.0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14.0周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14.0周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/>
          <w:jc w:val="center"/>
        </w:trPr>
        <w:tc>
          <w:tcPr>
            <w:tcW w:w="946" w:type="dxa"/>
            <w:gridSpan w:val="2"/>
            <w:vMerge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40" w:lineRule="exact"/>
              <w:ind w:left="0" w:right="0"/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集中实践环节模块</w:t>
            </w:r>
          </w:p>
        </w:tc>
        <w:tc>
          <w:tcPr>
            <w:tcW w:w="1116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251411029</w:t>
            </w:r>
          </w:p>
        </w:tc>
        <w:tc>
          <w:tcPr>
            <w:tcW w:w="3579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大数据管理与应用专业实习</w:t>
            </w:r>
          </w:p>
          <w:p>
            <w:pPr>
              <w:keepNext w:val="0"/>
              <w:keepLines w:val="0"/>
              <w:pageBreakBefore w:val="0"/>
              <w:suppressLineNumbers w:val="0"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Big Data Management and Application Major Internship</w:t>
            </w:r>
          </w:p>
        </w:tc>
        <w:tc>
          <w:tcPr>
            <w:tcW w:w="60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</w:t>
            </w:r>
          </w:p>
        </w:tc>
        <w:tc>
          <w:tcPr>
            <w:tcW w:w="53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---</w:t>
            </w:r>
          </w:p>
        </w:tc>
        <w:tc>
          <w:tcPr>
            <w:tcW w:w="70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2.0周</w:t>
            </w:r>
          </w:p>
        </w:tc>
        <w:tc>
          <w:tcPr>
            <w:tcW w:w="52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8</w:t>
            </w:r>
          </w:p>
        </w:tc>
        <w:tc>
          <w:tcPr>
            <w:tcW w:w="1007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240" w:lineRule="auto"/>
              <w:ind w:left="0" w:right="0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cs="Times New Roman" w:hint="default"/>
                <w:color w:val="000000"/>
                <w:spacing w:val="0"/>
                <w:w w:val="100"/>
                <w:kern w:val="4"/>
                <w:position w:val="0"/>
                <w:sz w:val="18"/>
              </w:rPr>
              <w:t>工程训练A-C开课学期3或4；DI开课学期1或2，DII开课学期3或4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2062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应修学分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37.5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必修学分</w:t>
            </w:r>
          </w:p>
        </w:tc>
        <w:tc>
          <w:tcPr>
            <w:tcW w:w="170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37.5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选修学分</w:t>
            </w:r>
          </w:p>
        </w:tc>
        <w:tc>
          <w:tcPr>
            <w:tcW w:w="153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0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2062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应修学分总计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162</w:t>
            </w:r>
          </w:p>
        </w:tc>
        <w:tc>
          <w:tcPr>
            <w:tcW w:w="1504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必修学分</w:t>
            </w:r>
          </w:p>
        </w:tc>
        <w:tc>
          <w:tcPr>
            <w:tcW w:w="1707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132.5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选修学分</w:t>
            </w:r>
          </w:p>
        </w:tc>
        <w:tc>
          <w:tcPr>
            <w:tcW w:w="153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18"/>
                <w:szCs w:val="18"/>
              </w:rPr>
              <w:t>29</w:t>
            </w:r>
          </w:p>
        </w:tc>
      </w:tr>
      <w:tr>
        <w:tblPrEx>
          <w:tblW w:w="9584" w:type="dxa"/>
          <w:jc w:val="center"/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/>
          <w:jc w:val="center"/>
        </w:trPr>
        <w:tc>
          <w:tcPr>
            <w:tcW w:w="946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3" w:beforeLines="1" w:beforeAutospacing="0" w:after="3" w:afterLines="1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  <w:t>制定</w:t>
            </w:r>
          </w:p>
        </w:tc>
        <w:tc>
          <w:tcPr>
            <w:tcW w:w="1999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3" w:beforeLines="1" w:beforeAutospacing="0" w:after="3" w:afterLines="1" w:afterAutospacing="0" w:line="240" w:lineRule="auto"/>
              <w:ind w:left="0" w:right="0"/>
              <w:jc w:val="center"/>
              <w:rPr>
                <w:rFonts w:ascii="Times New Roman" w:eastAsia="宋体" w:hAnsi="Times New Roman" w:cs="Times New Roman" w:hint="eastAsia"/>
                <w:color w:val="000000" w:themeColor="text1"/>
                <w:spacing w:val="0"/>
                <w:w w:val="100"/>
                <w:kern w:val="4"/>
                <w:position w:val="0"/>
                <w:sz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  <w:lang w:eastAsia="zh-CN"/>
              </w:rPr>
              <w:drawing>
                <wp:inline distT="0" distB="0" distL="114300" distR="114300">
                  <wp:extent cx="831215" cy="353695"/>
                  <wp:effectExtent l="0" t="0" r="6985" b="8255"/>
                  <wp:docPr id="3" name="图片 3" descr="图片签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4055462" name="图片 3" descr="图片签章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215" cy="35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3" w:beforeLines="1" w:beforeAutospacing="0" w:after="3" w:afterLines="1" w:afterAutospacing="0" w:line="240" w:lineRule="auto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  <w:t>审核</w:t>
            </w:r>
          </w:p>
        </w:tc>
        <w:tc>
          <w:tcPr>
            <w:tcW w:w="1322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3" w:beforeLines="1" w:beforeAutospacing="0" w:after="3" w:afterLines="1" w:afterAutospacing="0" w:line="240" w:lineRule="auto"/>
              <w:ind w:left="0" w:right="0"/>
              <w:jc w:val="center"/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  <w:lang w:eastAsia="zh-CN"/>
              </w:rPr>
              <w:drawing>
                <wp:inline distT="0" distB="0" distL="114300" distR="114300">
                  <wp:extent cx="831215" cy="353695"/>
                  <wp:effectExtent l="0" t="0" r="6985" b="8255"/>
                  <wp:docPr id="2" name="图片 2" descr="图片签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155762" name="图片 2" descr="图片签章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215" cy="35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3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3" w:beforeLines="1" w:beforeAutospacing="0" w:after="3" w:afterLines="1" w:afterAutospacing="0" w:line="260" w:lineRule="exact"/>
              <w:ind w:left="0" w:right="0"/>
              <w:jc w:val="center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</w:pPr>
            <w:r>
              <w:rPr>
                <w:rFonts w:ascii="Times New Roman" w:hAnsi="Times New Roman" w:cs="Times New Roman" w:hint="default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  <w:t>审定</w:t>
            </w:r>
          </w:p>
        </w:tc>
        <w:tc>
          <w:tcPr>
            <w:tcW w:w="2240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suppressLineNumbers w:val="0"/>
              <w:adjustRightInd w:val="0"/>
              <w:snapToGrid w:val="0"/>
              <w:spacing w:before="3" w:beforeLines="1" w:beforeAutospacing="0" w:after="3" w:afterLines="1" w:afterAutospacing="0" w:line="260" w:lineRule="exact"/>
              <w:ind w:left="0" w:right="0"/>
              <w:jc w:val="both"/>
              <w:rPr>
                <w:rFonts w:ascii="Times New Roman" w:hAnsi="Times New Roman" w:cs="Times New Roman" w:hint="default"/>
                <w:color w:val="000000" w:themeColor="text1"/>
                <w:spacing w:val="0"/>
                <w:w w:val="100"/>
                <w:kern w:val="4"/>
                <w:position w:val="0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pacing w:val="0"/>
                <w:w w:val="100"/>
                <w:kern w:val="4"/>
                <w:position w:val="0"/>
                <w:sz w:val="24"/>
                <w:lang w:eastAsia="zh-C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10795</wp:posOffset>
                  </wp:positionV>
                  <wp:extent cx="831215" cy="353695"/>
                  <wp:effectExtent l="0" t="0" r="6985" b="8255"/>
                  <wp:wrapSquare wrapText="bothSides"/>
                  <wp:docPr id="7" name="图片 7" descr="图片签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3569208" name="图片 7" descr="图片签章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1215" cy="353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before="156" w:beforeLines="50" w:after="156" w:afterLines="50" w:line="360" w:lineRule="auto"/>
        <w:textAlignment w:val="auto"/>
        <w:outlineLvl w:val="2"/>
        <w:rPr>
          <w:rFonts w:ascii="Times New Roman" w:hAnsi="Times New Roman" w:cs="Times New Roman" w:hint="eastAsia"/>
          <w:b/>
          <w:spacing w:val="0"/>
          <w:w w:val="100"/>
          <w:kern w:val="4"/>
          <w:position w:val="0"/>
          <w:sz w:val="24"/>
          <w:lang w:val="en-US" w:eastAsia="zh-CN"/>
        </w:rPr>
      </w:pPr>
      <w:r>
        <w:rPr>
          <w:rFonts w:cs="Times New Roman" w:hint="eastAsia"/>
          <w:b/>
          <w:spacing w:val="0"/>
          <w:w w:val="100"/>
          <w:kern w:val="4"/>
          <w:position w:val="0"/>
          <w:sz w:val="24"/>
          <w:lang w:val="en-US" w:eastAsia="zh-CN"/>
        </w:rPr>
        <w:t>六、毕业要求对培养目标的支撑矩阵和课程体系对毕业要求的支撑矩阵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 w:themeColor="text1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 w:themeColor="text1"/>
          <w:highlight w:val="none"/>
          <w:lang w:val="en-US" w:eastAsia="zh-CN"/>
        </w:rPr>
        <w:t>1.毕业要求对培养目标的支撑矩阵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269"/>
        <w:gridCol w:w="1269"/>
        <w:gridCol w:w="1269"/>
        <w:gridCol w:w="1269"/>
        <w:gridCol w:w="1269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/>
          <w:tblHeader/>
        </w:trPr>
        <w:tc>
          <w:tcPr>
            <w:tcW w:w="1377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</w:p>
        </w:tc>
        <w:tc>
          <w:tcPr>
            <w:tcW w:w="1269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eastAsiaTheme="minorEastAsia" w:cs="Times New Roman" w:hint="default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Cs w:val="21"/>
              </w:rPr>
              <w:t>培养目标1</w:t>
            </w:r>
          </w:p>
        </w:tc>
        <w:tc>
          <w:tcPr>
            <w:tcW w:w="1269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eastAsiaTheme="minorEastAsia" w:cs="Times New Roman" w:hint="default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Cs w:val="21"/>
              </w:rPr>
              <w:t>培养目标2</w:t>
            </w:r>
          </w:p>
        </w:tc>
        <w:tc>
          <w:tcPr>
            <w:tcW w:w="1269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eastAsiaTheme="minorEastAsia" w:cs="Times New Roman" w:hint="default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Cs w:val="21"/>
              </w:rPr>
              <w:t>培养目标3</w:t>
            </w:r>
          </w:p>
        </w:tc>
        <w:tc>
          <w:tcPr>
            <w:tcW w:w="1269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eastAsiaTheme="minorEastAsia" w:cs="Times New Roman" w:hint="default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Cs w:val="21"/>
              </w:rPr>
              <w:t>培养目标4</w:t>
            </w:r>
          </w:p>
        </w:tc>
        <w:tc>
          <w:tcPr>
            <w:tcW w:w="1269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ascii="Times New Roman" w:hAnsi="Times New Roman" w:eastAsiaTheme="minorEastAsia" w:cs="Times New Roman" w:hint="default"/>
                <w:szCs w:val="21"/>
              </w:rPr>
            </w:pPr>
            <w:r>
              <w:rPr>
                <w:rFonts w:ascii="Times New Roman" w:hAnsi="Times New Roman" w:eastAsiaTheme="minorEastAsia" w:cs="Times New Roman" w:hint="default"/>
                <w:szCs w:val="21"/>
              </w:rPr>
              <w:t>培养目标5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69"/>
          <w:tblHeader/>
        </w:trPr>
        <w:tc>
          <w:tcPr>
            <w:tcW w:w="1377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毕业要求1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69"/>
          <w:tblHeader/>
        </w:trPr>
        <w:tc>
          <w:tcPr>
            <w:tcW w:w="1377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毕业要求2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69"/>
          <w:tblHeader/>
        </w:trPr>
        <w:tc>
          <w:tcPr>
            <w:tcW w:w="1377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毕业要求3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69"/>
          <w:tblHeader/>
        </w:trPr>
        <w:tc>
          <w:tcPr>
            <w:tcW w:w="1377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毕业要求4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69"/>
          <w:tblHeader/>
        </w:trPr>
        <w:tc>
          <w:tcPr>
            <w:tcW w:w="1377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毕业要求5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69"/>
          <w:tblHeader/>
        </w:trPr>
        <w:tc>
          <w:tcPr>
            <w:tcW w:w="1377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毕业要求6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369"/>
          <w:tblHeader/>
        </w:trPr>
        <w:tc>
          <w:tcPr>
            <w:tcW w:w="1377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21"/>
              </w:rPr>
            </w:pPr>
            <w:r>
              <w:rPr>
                <w:rFonts w:hint="default"/>
                <w:szCs w:val="21"/>
              </w:rPr>
              <w:t>毕业要求7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</w:p>
        </w:tc>
        <w:tc>
          <w:tcPr>
            <w:tcW w:w="1268" w:type="dxa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eastAsia="仿宋" w:hint="default"/>
                <w:b/>
                <w:szCs w:val="21"/>
              </w:rPr>
            </w:pPr>
            <w:r>
              <w:rPr>
                <w:rFonts w:eastAsia="仿宋" w:hint="default"/>
                <w:b/>
                <w:szCs w:val="21"/>
              </w:rPr>
              <w:t>√</w:t>
            </w:r>
          </w:p>
        </w:tc>
      </w:tr>
    </w:tbl>
    <w:p>
      <w:pPr>
        <w:sectPr>
          <w:pgSz w:w="11906" w:h="16838"/>
          <w:pgMar w:top="1440" w:right="1800" w:bottom="1440" w:left="1800" w:header="851" w:footer="992" w:gutter="0"/>
          <w:cols w:num="1" w:space="425"/>
          <w:docGrid w:type="lines" w:linePitch="312" w:charSpace="0"/>
        </w:sectPr>
      </w:pPr>
    </w:p>
    <w:p>
      <w:pPr>
        <w:spacing w:line="240" w:lineRule="auto"/>
        <w:textAlignment w:val="center"/>
        <w:rPr>
          <w:rFonts w:ascii="Times New Roman" w:hAnsi="Times New Roman" w:cs="Times New Roman" w:hint="default"/>
          <w:spacing w:val="0"/>
          <w:w w:val="100"/>
          <w:kern w:val="4"/>
          <w:position w:val="0"/>
        </w:rPr>
      </w:pPr>
    </w:p>
    <w:p>
      <w:pPr>
        <w:spacing w:line="240" w:lineRule="auto"/>
        <w:textAlignment w:val="center"/>
        <w:rPr>
          <w:rFonts w:ascii="Times New Roman" w:eastAsia="宋体" w:hAnsi="Times New Roman" w:cs="Times New Roman" w:hint="default"/>
          <w:spacing w:val="0"/>
          <w:w w:val="100"/>
          <w:kern w:val="4"/>
          <w:position w:val="0"/>
          <w:lang w:val="en-US" w:eastAsia="zh-CN"/>
        </w:rPr>
      </w:pPr>
      <w:r>
        <w:rPr>
          <w:rFonts w:cs="Times New Roman" w:hint="eastAsia"/>
          <w:spacing w:val="0"/>
          <w:w w:val="100"/>
          <w:kern w:val="4"/>
          <w:position w:val="0"/>
          <w:lang w:val="en-US" w:eastAsia="zh-CN"/>
        </w:rPr>
        <w:t>2.课程与毕业要求的对应关系矩阵</w:t>
      </w:r>
    </w:p>
    <w:tbl>
      <w:tblPr>
        <w:tblW w:w="5083" w:type="pct"/>
        <w:tblLayout w:type="fixed"/>
        <w:tblLook w:val="04A0"/>
      </w:tblPr>
      <w:tblGrid>
        <w:gridCol w:w="971"/>
        <w:gridCol w:w="2113"/>
        <w:gridCol w:w="540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>
        <w:tblPrEx>
          <w:tblW w:w="5083" w:type="pct"/>
          <w:tblLayout w:type="fixed"/>
          <w:tblLook w:val="04A0"/>
        </w:tblPrEx>
        <w:trPr>
          <w:trHeight w:val="400"/>
          <w:tblHeader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类别</w:t>
            </w:r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课程名称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学分</w:t>
            </w:r>
          </w:p>
        </w:tc>
        <w:tc>
          <w:tcPr>
            <w:tcW w:w="20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毕业要求</w:t>
            </w: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毕业要求</w:t>
            </w: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毕业要求</w:t>
            </w: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毕业要求</w:t>
            </w: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毕业要求</w:t>
            </w: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毕业要求</w:t>
            </w: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6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5"/>
                <w:szCs w:val="15"/>
              </w:rPr>
              <w:t>毕业要求</w:t>
            </w: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7</w:t>
            </w:r>
          </w:p>
        </w:tc>
      </w:tr>
      <w:tr>
        <w:tblPrEx>
          <w:tblW w:w="5083" w:type="pct"/>
          <w:tblLayout w:type="fixed"/>
          <w:tblLook w:val="04A0"/>
        </w:tblPrEx>
        <w:trPr>
          <w:trHeight w:val="400"/>
          <w:tblHeader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5C7EA" w:themeFill="accent1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b/>
                <w:bCs/>
                <w:color w:val="000000"/>
                <w:kern w:val="0"/>
                <w:sz w:val="15"/>
                <w:szCs w:val="15"/>
              </w:rPr>
              <w:t>4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马克思主义基本原理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思想道德与法治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形势与政策Ⅰ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形势与政策Ⅱ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形势与政策Ⅲ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形势与政策Ⅳ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中国近现代史纲要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改革开放史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社会主义发展史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中国共产党史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中华人民共和国史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军事理论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体育Ⅳ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大学英语读写Ⅰ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大学英语读写Ⅱ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大学英语听说Ⅰ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大学英语听说Ⅱ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新文科大学英语Ⅰ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新文科大学英语Ⅱ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计算思维与人工智能导论(B)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信息检索与数智素养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大学生国家安全教育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大学生劳动教育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大学生心理健康教育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大学生职业生涯规划与就业指导I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大学生职业生涯规划与就业指导II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大学生职业生涯规划与就业指导III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大学生职业生涯规划与就业指导IV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0.25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科学技术类(学生自选)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美育限选课(学生自选)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通识教育课程模块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中国传统文化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概率论与数理统计(D)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高等数学(A)Ⅰ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5.0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高等数学(A)Ⅱ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5.0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管理学原理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管理运筹学(B)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会计学原理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微观经济学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学科基础课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线性代数(B)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ERP原理与应用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JAVA程序设计基础I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JAVA程序设计基础II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Python 编程基础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UI设计基础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创新方法基础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大数据管理与应用专业导论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大数据计量经济分析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大数据智能分析理论与方法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大学生创业基础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管理信息系统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3.0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数据采集与处理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数据仓库与数据挖掘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数据结构与算法分析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数据科学统计基础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数据可视化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数据库原理及应用(A)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4.0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文本分析与文本挖掘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IT治理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Unix/Linux基础技术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财务数据挖掘与分析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大数据安全管理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大数据思维与数据治理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大数据营销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电子商务(C)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基于web的数据产品开发技术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基于移动端的数据产品开发技术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计算机网络基础与应用(B)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商务数据分析方法与工具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商务数据分析前沿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商务智能与人工智能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社会化网络分析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数据质量管理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物联网与云计算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专业教育课程模块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信息经济学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Java程序设计实训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Python程序设计实训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大数据管理与应用专业毕业论文与毕业设计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14.0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大数据管理与应用专业实习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大数据算法应用实训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工程训练(C)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管理信息系统课程设计(B)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劳动教育实践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0.5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企业管理模拟实习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入学教育及军训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沙盘模拟实习(B)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商务数据创新应用实训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4.0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数据库应用基础课程设计(B)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L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数据挖掘课程设计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1.0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H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  <w:tr>
        <w:tblPrEx>
          <w:tblW w:w="5083" w:type="pct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trHeight w:val="300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集中实践环节模块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ascii="宋体" w:hAnsi="宋体" w:cs="宋体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思想政治理论课实践教学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rFonts w:eastAsia="等线" w:hint="default"/>
                <w:color w:val="000000"/>
                <w:kern w:val="0"/>
                <w:sz w:val="15"/>
                <w:szCs w:val="15"/>
              </w:rPr>
              <w:t>2.5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  <w:r>
              <w:rPr>
                <w:color w:val="000000"/>
                <w:kern w:val="0"/>
                <w:sz w:val="15"/>
              </w:rPr>
              <w:t>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eastAsia="等线" w:hint="default"/>
                <w:color w:val="000000"/>
                <w:kern w:val="0"/>
                <w:sz w:val="15"/>
                <w:szCs w:val="15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tabs>
        <w:tab w:val="left" w:pos="239"/>
        <w:tab w:val="clear" w:pos="4153"/>
      </w:tabs>
      <w:jc w:val="center"/>
    </w:pPr>
    <w:r>
      <w:fldChar w:fldCharType="begin"/>
    </w:r>
    <w:r>
      <w:instrText>PAGE</w:instrText>
    </w:r>
    <w:r>
      <w:fldChar w:fldCharType="separate"/>
    </w:r>
    <w:r>
      <w:fldChar w:fldCharType="end"/>
    </w:r>
    <w:r>
      <w:t xml:space="preserve"> / </w:t>
    </w:r>
    <w:r>
      <w:fldChar w:fldCharType="begin"/>
    </w:r>
    <w:r>
      <w:instrText>NUMPAGES</w:instrText>
    </w:r>
    <w:r>
      <w:fldChar w:fldCharType="separate"/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E465A95"/>
    <w:rsid w:val="00610625"/>
    <w:rsid w:val="01245B7E"/>
    <w:rsid w:val="024164DA"/>
    <w:rsid w:val="028133CD"/>
    <w:rsid w:val="03305FFE"/>
    <w:rsid w:val="03563CB7"/>
    <w:rsid w:val="039447DF"/>
    <w:rsid w:val="04CE3D21"/>
    <w:rsid w:val="05216546"/>
    <w:rsid w:val="058906CE"/>
    <w:rsid w:val="05A61A15"/>
    <w:rsid w:val="06B56534"/>
    <w:rsid w:val="08B54BB1"/>
    <w:rsid w:val="08FD1499"/>
    <w:rsid w:val="091C01AA"/>
    <w:rsid w:val="0B723374"/>
    <w:rsid w:val="0C4227F9"/>
    <w:rsid w:val="0CE20369"/>
    <w:rsid w:val="0DA04E19"/>
    <w:rsid w:val="0EBA46CB"/>
    <w:rsid w:val="0EED7507"/>
    <w:rsid w:val="0F772D10"/>
    <w:rsid w:val="104942F3"/>
    <w:rsid w:val="104E7368"/>
    <w:rsid w:val="10F466DC"/>
    <w:rsid w:val="11BC6E1B"/>
    <w:rsid w:val="11E903EC"/>
    <w:rsid w:val="15D048D6"/>
    <w:rsid w:val="16706054"/>
    <w:rsid w:val="16761E05"/>
    <w:rsid w:val="178818B3"/>
    <w:rsid w:val="1877314A"/>
    <w:rsid w:val="18815D6B"/>
    <w:rsid w:val="18B54D9E"/>
    <w:rsid w:val="19046C82"/>
    <w:rsid w:val="1A57289D"/>
    <w:rsid w:val="1A870E35"/>
    <w:rsid w:val="1AA248C6"/>
    <w:rsid w:val="1C2C55BB"/>
    <w:rsid w:val="1C423533"/>
    <w:rsid w:val="1C9E4AD6"/>
    <w:rsid w:val="1E566E09"/>
    <w:rsid w:val="1E6900E2"/>
    <w:rsid w:val="1F07606D"/>
    <w:rsid w:val="1FFD146C"/>
    <w:rsid w:val="20C341F2"/>
    <w:rsid w:val="212339B6"/>
    <w:rsid w:val="212B5D0A"/>
    <w:rsid w:val="21F7025F"/>
    <w:rsid w:val="22C100B3"/>
    <w:rsid w:val="23376DEB"/>
    <w:rsid w:val="246B0F38"/>
    <w:rsid w:val="250E179D"/>
    <w:rsid w:val="25C55791"/>
    <w:rsid w:val="26E369D6"/>
    <w:rsid w:val="28221DB2"/>
    <w:rsid w:val="28274F1D"/>
    <w:rsid w:val="28575C58"/>
    <w:rsid w:val="28AF1A40"/>
    <w:rsid w:val="29B30956"/>
    <w:rsid w:val="2A5F40BB"/>
    <w:rsid w:val="2A6401B8"/>
    <w:rsid w:val="2B9F3B9D"/>
    <w:rsid w:val="2BDA4BD6"/>
    <w:rsid w:val="2C106849"/>
    <w:rsid w:val="2C12005C"/>
    <w:rsid w:val="2CFB243E"/>
    <w:rsid w:val="2DCF003E"/>
    <w:rsid w:val="2DF26F45"/>
    <w:rsid w:val="2E2E7611"/>
    <w:rsid w:val="2E8A62B5"/>
    <w:rsid w:val="2E9574DA"/>
    <w:rsid w:val="2FF12000"/>
    <w:rsid w:val="306863FA"/>
    <w:rsid w:val="308D7093"/>
    <w:rsid w:val="30D00355"/>
    <w:rsid w:val="31421AF1"/>
    <w:rsid w:val="314A1D82"/>
    <w:rsid w:val="325F111E"/>
    <w:rsid w:val="326E7E26"/>
    <w:rsid w:val="327F1099"/>
    <w:rsid w:val="33113F6F"/>
    <w:rsid w:val="3330157F"/>
    <w:rsid w:val="333077D1"/>
    <w:rsid w:val="34BE4140"/>
    <w:rsid w:val="34DF500B"/>
    <w:rsid w:val="354E2190"/>
    <w:rsid w:val="35D541B3"/>
    <w:rsid w:val="36533CC4"/>
    <w:rsid w:val="36CA7816"/>
    <w:rsid w:val="37A3583F"/>
    <w:rsid w:val="3885006C"/>
    <w:rsid w:val="38996B9A"/>
    <w:rsid w:val="3A41067F"/>
    <w:rsid w:val="3ACC4283"/>
    <w:rsid w:val="3C3F30EB"/>
    <w:rsid w:val="3C673F2A"/>
    <w:rsid w:val="3D1B6DFC"/>
    <w:rsid w:val="3D472B15"/>
    <w:rsid w:val="3FD37E62"/>
    <w:rsid w:val="404D01E8"/>
    <w:rsid w:val="40F00D7D"/>
    <w:rsid w:val="40FC63F3"/>
    <w:rsid w:val="413A38D4"/>
    <w:rsid w:val="418A4E23"/>
    <w:rsid w:val="45965BB9"/>
    <w:rsid w:val="45B55914"/>
    <w:rsid w:val="45EB3705"/>
    <w:rsid w:val="47134FF8"/>
    <w:rsid w:val="47BE633D"/>
    <w:rsid w:val="48116EDB"/>
    <w:rsid w:val="4B2C4F40"/>
    <w:rsid w:val="4B8267D2"/>
    <w:rsid w:val="4B8F59ED"/>
    <w:rsid w:val="4D6D0D89"/>
    <w:rsid w:val="4E6E0DEE"/>
    <w:rsid w:val="4E7312C8"/>
    <w:rsid w:val="4EDA3305"/>
    <w:rsid w:val="4F597ACD"/>
    <w:rsid w:val="508814BC"/>
    <w:rsid w:val="50FA6E95"/>
    <w:rsid w:val="51E447B1"/>
    <w:rsid w:val="520D1688"/>
    <w:rsid w:val="52CF6252"/>
    <w:rsid w:val="5309699E"/>
    <w:rsid w:val="541B6B98"/>
    <w:rsid w:val="54AC305F"/>
    <w:rsid w:val="55063453"/>
    <w:rsid w:val="55A45A27"/>
    <w:rsid w:val="55D0590B"/>
    <w:rsid w:val="5682314E"/>
    <w:rsid w:val="57385095"/>
    <w:rsid w:val="5763068E"/>
    <w:rsid w:val="592D28E9"/>
    <w:rsid w:val="5C372B0C"/>
    <w:rsid w:val="5C5E4621"/>
    <w:rsid w:val="5C8962D7"/>
    <w:rsid w:val="5CB3474E"/>
    <w:rsid w:val="5CB53A0D"/>
    <w:rsid w:val="5DE87AF2"/>
    <w:rsid w:val="5EB26BFE"/>
    <w:rsid w:val="5F0C439F"/>
    <w:rsid w:val="5F8852BC"/>
    <w:rsid w:val="5FEB236D"/>
    <w:rsid w:val="5FFF5CB2"/>
    <w:rsid w:val="60347E2A"/>
    <w:rsid w:val="6054690E"/>
    <w:rsid w:val="61F45CEA"/>
    <w:rsid w:val="63BD210C"/>
    <w:rsid w:val="64030466"/>
    <w:rsid w:val="640D4E41"/>
    <w:rsid w:val="64694A07"/>
    <w:rsid w:val="664178E3"/>
    <w:rsid w:val="66D76E6D"/>
    <w:rsid w:val="67694CDA"/>
    <w:rsid w:val="67B83CE7"/>
    <w:rsid w:val="67E2431E"/>
    <w:rsid w:val="67F36F91"/>
    <w:rsid w:val="686679E3"/>
    <w:rsid w:val="68B40142"/>
    <w:rsid w:val="69160E69"/>
    <w:rsid w:val="6ADE7537"/>
    <w:rsid w:val="6B642CA1"/>
    <w:rsid w:val="6B6D0959"/>
    <w:rsid w:val="6CF02DCB"/>
    <w:rsid w:val="6D5F4DF9"/>
    <w:rsid w:val="6DF64CF4"/>
    <w:rsid w:val="6E465A95"/>
    <w:rsid w:val="6EBB71F2"/>
    <w:rsid w:val="6F357E06"/>
    <w:rsid w:val="6F8F6484"/>
    <w:rsid w:val="71EA64F7"/>
    <w:rsid w:val="72264FDB"/>
    <w:rsid w:val="7416564C"/>
    <w:rsid w:val="746F497D"/>
    <w:rsid w:val="74E17AD3"/>
    <w:rsid w:val="756C4377"/>
    <w:rsid w:val="76085536"/>
    <w:rsid w:val="77277B70"/>
    <w:rsid w:val="777A5920"/>
    <w:rsid w:val="77A318EC"/>
    <w:rsid w:val="7856695F"/>
    <w:rsid w:val="789314F6"/>
    <w:rsid w:val="7A4D3D91"/>
    <w:rsid w:val="7A5F6ACA"/>
    <w:rsid w:val="7AF206A2"/>
    <w:rsid w:val="7B5B428C"/>
    <w:rsid w:val="7BC14128"/>
    <w:rsid w:val="7C9308B8"/>
    <w:rsid w:val="7CC45C25"/>
    <w:rsid w:val="7D433B62"/>
    <w:rsid w:val="7D584F27"/>
    <w:rsid w:val="7E48506D"/>
    <w:rsid w:val="7E926838"/>
    <w:rsid w:val="7ECA3C03"/>
    <w:rsid w:val="7F7F2C3F"/>
    <w:rsid w:val="7FD879C8"/>
    <w:rsid w:val="7FE505C8"/>
  </w:rsids>
  <w:docVars>
    <w:docVar w:name="commondata" w:val="eyJoZGlkIjoiYWNiNGNlZDRiNDUxNzQxZTgyMWI5YzM5NDMwMWQ0YW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 w:qFormat="1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line="400" w:lineRule="exact"/>
      <w:jc w:val="both"/>
    </w:pPr>
    <w:rPr>
      <w:rFonts w:ascii="Times New Roman" w:eastAsia="宋体" w:hAnsi="Times New Roman" w:cs="Times New Roman"/>
      <w:kern w:val="6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pageBreakBefore/>
      <w:autoSpaceDE/>
      <w:autoSpaceDN w:val="0"/>
      <w:adjustRightInd w:val="0"/>
      <w:ind w:left="0"/>
      <w:jc w:val="center"/>
      <w:textAlignment w:val="center"/>
      <w:outlineLvl w:val="0"/>
    </w:pPr>
    <w:rPr>
      <w:rFonts w:ascii="Microsoft JhengHei" w:eastAsia="方正小标宋_GBK" w:hAnsi="Microsoft JhengHei" w:cs="Microsoft JhengHei"/>
      <w:bCs/>
      <w:kern w:val="0"/>
      <w:sz w:val="44"/>
      <w:lang w:eastAsia="en-US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140" w:beforeLines="0" w:beforeAutospacing="0" w:after="140" w:afterLines="0" w:afterAutospacing="0" w:line="413" w:lineRule="auto"/>
      <w:outlineLvl w:val="1"/>
    </w:pPr>
    <w:rPr>
      <w:rFonts w:ascii="Arial" w:eastAsia="宋体" w:hAnsi="Arial" w:cs="Times New Roman"/>
      <w:b/>
      <w:sz w:val="24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widowControl/>
      <w:adjustRightInd w:val="0"/>
      <w:snapToGrid/>
      <w:spacing w:after="200" w:afterLines="200" w:line="240" w:lineRule="auto"/>
      <w:ind w:firstLine="0" w:firstLineChars="0"/>
      <w:jc w:val="center"/>
      <w:textAlignment w:val="center"/>
      <w:outlineLvl w:val="2"/>
    </w:pPr>
    <w:rPr>
      <w:rFonts w:ascii="Times New Roman" w:eastAsia="宋体" w:hAnsi="Times New Roman"/>
      <w:b/>
      <w:kern w:val="0"/>
      <w:sz w:val="24"/>
      <w:szCs w:val="21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a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autoSpaceDE w:val="0"/>
      <w:autoSpaceDN w:val="0"/>
      <w:snapToGrid w:val="0"/>
      <w:jc w:val="left"/>
    </w:pPr>
    <w:rPr>
      <w:rFonts w:ascii="Times New Roman" w:eastAsia="Times New Roman" w:hAnsi="Times New Roman"/>
      <w:kern w:val="0"/>
      <w:sz w:val="18"/>
      <w:szCs w:val="18"/>
      <w:lang w:eastAsia="en-US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">
    <w:name w:val="批注文字 字符"/>
    <w:basedOn w:val="DefaultParagraphFont"/>
    <w:link w:val="CommentText"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image" Target="media/image1.jpeg" /><Relationship Id="rId7" Type="http://schemas.openxmlformats.org/officeDocument/2006/relationships/image" Target="media/image2.jpeg" /><Relationship Id="rId8" Type="http://schemas.openxmlformats.org/officeDocument/2006/relationships/image" Target="media/image3.png" /><Relationship Id="rId9" Type="http://schemas.openxmlformats.org/officeDocument/2006/relationships/theme" Target="theme/theme1.xml" 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false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false"/>
          </a:effectLst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:s="http://www.wps.cn/officeDocument/2013/wpsCustomData" xmlns="http://www.wps.cn/officeDocument/2013/wpsCustomData" xmlns:pkg="http://schemas.microsoft.com/office/2006/xmlPackage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5375</Words>
  <Characters>5589</Characters>
  <Application>Microsoft Office Word</Application>
  <DocSecurity>0</DocSecurity>
  <Lines>0</Lines>
  <Paragraphs>0</Paragraphs>
  <ScaleCrop>false</ScaleCrop>
  <Company/>
  <LinksUpToDate>false</LinksUpToDate>
  <CharactersWithSpaces>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Qin</dc:creator>
  <cp:lastModifiedBy>Administrator</cp:lastModifiedBy>
  <cp:revision>1</cp:revision>
  <dcterms:created xsi:type="dcterms:W3CDTF">2025-06-11T08:44:00Z</dcterms:created>
  <dcterms:modified xsi:type="dcterms:W3CDTF">2025-07-08T07:01:38Z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D359A9674A6B45019725B53E0CBE6EA8</vt:lpwstr>
  </property>
  <property fmtid="{D5CDD505-2E9C-101B-9397-08002B2CF9AE}" pid="3" name="KSOProductBuildVer">
    <vt:lpwstr>2052-11.1.0.10938</vt:lpwstr>
  </property>
  <property fmtid="{D5CDD505-2E9C-101B-9397-08002B2CF9AE}" pid="4" name="KSOTemplateDocerSaveRecord">
    <vt:lpwstr>eyJoZGlkIjoiZjNjZmQyYTE1MzhlNjA5NmY1MTc4Y2YzZGE3YjVkZGIiLCJ1c2VySWQiOiI1ODc0NjU3ODQifQ==</vt:lpwstr>
  </property>
</Properties>
</file>