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2 -->
  <w:body>
    <w:p>
      <w:pPr>
        <w:pStyle w:val="Heading1"/>
        <w:keepNext/>
        <w:keepLines w:val="0"/>
        <w:pageBreakBefore/>
        <w:widowControl/>
        <w:kinsoku/>
        <w:wordWrap/>
        <w:overflowPunct/>
        <w:topLinePunct w:val="0"/>
        <w:autoSpaceDE/>
        <w:autoSpaceDN w:val="0"/>
        <w:bidi w:val="0"/>
        <w:adjustRightInd/>
        <w:snapToGrid w:val="0"/>
        <w:spacing w:line="240" w:lineRule="auto"/>
        <w:jc w:val="center"/>
        <w:textAlignment w:val="center"/>
        <w:rPr>
          <w:rFonts w:hint="default"/>
        </w:rPr>
      </w:pPr>
      <w:bookmarkStart w:id="0" w:name="_Toc5646"/>
      <w:r>
        <w:rPr>
          <w:rFonts w:hint="default"/>
        </w:rPr>
        <w:t>会计学(智能会计实验班)专业</w:t>
      </w:r>
      <w:r>
        <w:rPr>
          <w:rFonts w:hint="default"/>
        </w:rPr>
        <w:br/>
      </w:r>
      <w:r>
        <w:rPr>
          <w:rFonts w:hint="default"/>
        </w:rPr>
        <w:t>本科人才培养方案</w:t>
      </w:r>
      <w:bookmarkEnd w:id="0"/>
    </w:p>
    <w:p>
      <w:pPr>
        <w:numPr>
          <w:ilvl w:val="0"/>
          <w:numId w:val="0"/>
        </w:numPr>
        <w:spacing w:line="360" w:lineRule="auto"/>
        <w:ind w:firstLine="420" w:firstLineChars="0"/>
        <w:rPr>
          <w:rFonts w:ascii="黑体" w:eastAsia="黑体" w:hAnsi="黑体" w:cs="黑体" w:hint="eastAsia"/>
          <w:snapToGrid w:val="0"/>
          <w:color w:val="000000"/>
          <w:spacing w:val="0"/>
          <w:w w:val="100"/>
          <w:kern w:val="0"/>
          <w:position w:val="0"/>
          <w:sz w:val="24"/>
          <w:szCs w:val="24"/>
        </w:rPr>
      </w:pPr>
      <w:r>
        <w:rPr>
          <w:rFonts w:ascii="黑体" w:eastAsia="黑体" w:hAnsi="黑体" w:cs="黑体" w:hint="eastAsia"/>
          <w:sz w:val="24"/>
          <w:szCs w:val="24"/>
          <w:highlight w:val="none"/>
          <w:lang w:val="en-US" w:eastAsia="zh-CN"/>
        </w:rPr>
        <w:t>所属学科门类：管理学    专业类别：工商管理类    专业代码：</w:t>
      </w:r>
      <w:r>
        <w:rPr>
          <w:rFonts w:ascii="Times New Roman" w:eastAsia="黑体" w:hAnsi="Times New Roman" w:cs="Times New Roman" w:hint="default"/>
          <w:b/>
          <w:bCs/>
          <w:sz w:val="24"/>
          <w:szCs w:val="24"/>
          <w:highlight w:val="none"/>
          <w:lang w:val="en-US" w:eastAsia="zh-CN"/>
        </w:rPr>
        <w:t>120203K</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firstLineChars="200"/>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会计学（智能会计实验班）专业是学院积极主动适应新技术、新业态、新模式、新产业发展需求，于2022年依托会计学专业开设的实验班，属于工商管理类专业。会计学专业自2006年开始在企业管理硕士点招收财务管理与资本运营方向学术型研究生，2016年成为山东省高水平应用型专业群支撑专业，2021年获批校级一流本科专业，2022年获批会计专硕（MPACC）硕士点。专业教师入选财政部高层次财会人才素质提升工程中青年人才培养（学术类）1人，省高端会计人才4人。会计学专业具有较高的社会认可度，第一志愿高报考率和录取率保证了生源质量，同时会计专业宽广的就业领域保证了就业率和就业质量，属于“入口质量”和“出口质量”双保证的热门专业。会计学（智能会计实验班）立足服务区域经济发展，面向国家重大战略需求，突出会计学科知识与人工智能等现代信息技术的交叉融合，通过数智赋能打造应用型、复合型高级会计专业人才培养体系。</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spacing w:val="0"/>
          <w:w w:val="100"/>
          <w:kern w:val="0"/>
          <w:position w:val="0"/>
          <w:sz w:val="24"/>
        </w:rPr>
      </w:pPr>
      <w:r>
        <w:rPr>
          <w:rFonts w:ascii="Times New Roman" w:hAnsi="Times New Roman" w:cs="Times New Roman" w:hint="default"/>
          <w:b/>
          <w:spacing w:val="0"/>
          <w:w w:val="100"/>
          <w:kern w:val="0"/>
          <w:position w:val="0"/>
          <w:sz w:val="24"/>
        </w:rPr>
        <w:t>一、专业培养目标</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本专业贯彻党的教育方针，依据学校发展定位，培养满足国家和地区经济、文化和社会发展的需要，为满足大数据高速发展背景下经济社会发展对会计数据分析和会计管理决策的需求，遵循“厚基础、宽口径、重实践、强能力”的人才培养理念，突出会计学科知识与智能分析技术的交叉融合，深度融入课程思政与创新创业教育，培养具备人文素养、科学精神和诚信品质，掌握经济、管理、法律、信息技术、会计和财务等方面知识，具备业财数据分析、智能投融资决策和全面风险管理等核心能力，能够胜任大中型企业、行政事业等单位的智能会计核算、财务分析及可视化、智能投融资决策等工作岗位，具有社会责任、创新精神、专门知识、实践能力、健康身心的德智体美劳全面发展的高素质应用型会计人才。</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学生在毕业后5年左右预期能够实现以下目标：</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1．</w:t>
      </w:r>
      <w:r>
        <w:rPr>
          <w:rFonts w:ascii="Times New Roman" w:hAnsi="Times New Roman" w:cs="Times New Roman" w:hint="default"/>
          <w:snapToGrid w:val="0"/>
          <w:color w:val="000000"/>
          <w:spacing w:val="0"/>
          <w:w w:val="100"/>
          <w:kern w:val="0"/>
          <w:position w:val="0"/>
          <w:szCs w:val="21"/>
        </w:rPr>
        <w:t>具备社会责任感、健康的身心和良好的人文修养，思想积极向上、遵纪守法，理解并坚守会计职业道德规范；</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2．</w:t>
      </w:r>
      <w:r>
        <w:rPr>
          <w:rFonts w:ascii="Times New Roman" w:hAnsi="Times New Roman" w:cs="Times New Roman" w:hint="default"/>
          <w:snapToGrid w:val="0"/>
          <w:color w:val="000000"/>
          <w:spacing w:val="0"/>
          <w:w w:val="100"/>
          <w:kern w:val="0"/>
          <w:position w:val="0"/>
          <w:szCs w:val="21"/>
        </w:rPr>
        <w:t>具有扎实的高等数学、管理学、经济学基础，掌握会计、财务、审计、税收、法律等专业知识并能够融会贯通，能运用智能技术对企业的业财一体化流程进行设计和优化，并利用业财数据为企业决策提供支持，达到解决复杂财务问题的专业水平；</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3．</w:t>
      </w:r>
      <w:r>
        <w:rPr>
          <w:rFonts w:ascii="Times New Roman" w:hAnsi="Times New Roman" w:cs="Times New Roman" w:hint="default"/>
          <w:snapToGrid w:val="0"/>
          <w:color w:val="000000"/>
          <w:spacing w:val="0"/>
          <w:w w:val="100"/>
          <w:kern w:val="0"/>
          <w:position w:val="0"/>
          <w:szCs w:val="21"/>
        </w:rPr>
        <w:t>具有创新意识，将会计学专业知识与现代信息技术有机融合，具备业财数据分析能力，综合运用“大智移云”构建财务共享中心，进行智能财务决策，提升企业管理水平；</w:t>
      </w:r>
    </w:p>
    <w:p>
      <w:pPr>
        <w:keepNext w:val="0"/>
        <w:keepLines w:val="0"/>
        <w:pageBreakBefore w:val="0"/>
        <w:widowControl/>
        <w:numPr>
          <w:ilvl w:val="0"/>
          <w:numId w:val="0"/>
        </w:numPr>
        <w:kinsoku w:val="0"/>
        <w:wordWrap/>
        <w:overflowPunct/>
        <w:topLinePunct w:val="0"/>
        <w:autoSpaceDE w:val="0"/>
        <w:autoSpaceDN w:val="0"/>
        <w:bidi w:val="0"/>
        <w:adjustRightInd w:val="0"/>
        <w:snapToGrid/>
        <w:spacing w:line="360" w:lineRule="auto"/>
        <w:ind w:left="0" w:right="74" w:firstLine="400" w:leftChars="0" w:rightChars="0" w:firstLineChars="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eastAsia="宋体" w:hAnsi="Times New Roman" w:cs="Times New Roman" w:hint="default"/>
          <w:snapToGrid w:val="0"/>
          <w:color w:val="000000"/>
          <w:spacing w:val="0"/>
          <w:w w:val="100"/>
          <w:kern w:val="0"/>
          <w:position w:val="0"/>
          <w:sz w:val="21"/>
          <w:szCs w:val="21"/>
          <w:lang w:val="en-US" w:eastAsia="zh-CN" w:bidi="ar-SA"/>
        </w:rPr>
        <w:t>4．</w:t>
      </w:r>
      <w:r>
        <w:rPr>
          <w:rFonts w:ascii="Times New Roman" w:hAnsi="Times New Roman" w:cs="Times New Roman" w:hint="default"/>
          <w:snapToGrid w:val="0"/>
          <w:color w:val="000000"/>
          <w:spacing w:val="0"/>
          <w:w w:val="100"/>
          <w:kern w:val="0"/>
          <w:position w:val="0"/>
          <w:szCs w:val="21"/>
        </w:rPr>
        <w:t>具备良好的沟通和协调能力，胜任智能会计核算、智能财务分析、财务管理、税务管理、成本控制、智能审计等多种职位，用自主学习能力不断更新专业知识并解决企业问题，达到企业中层管理岗位所需的能力水平；具有全球化意识和国际视野，了解国际经贸规则及会计准则，掌握国际前沿的学科理论知识与方法，具备国际竞争力。</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spacing w:val="0"/>
          <w:w w:val="100"/>
          <w:kern w:val="0"/>
          <w:position w:val="0"/>
          <w:sz w:val="24"/>
        </w:rPr>
      </w:pPr>
      <w:r>
        <w:rPr>
          <w:rFonts w:ascii="Times New Roman" w:hAnsi="Times New Roman" w:cs="Times New Roman" w:hint="default"/>
          <w:b/>
          <w:spacing w:val="0"/>
          <w:w w:val="100"/>
          <w:kern w:val="0"/>
          <w:position w:val="0"/>
          <w:sz w:val="24"/>
        </w:rPr>
        <w:t>二、毕业要求</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snapToGrid w:val="0"/>
          <w:color w:val="000000"/>
          <w:spacing w:val="0"/>
          <w:w w:val="100"/>
          <w:kern w:val="0"/>
          <w:position w:val="0"/>
          <w:szCs w:val="21"/>
        </w:rPr>
        <w:t>通过3~6年的系统学习，本专业学生应掌握会计、财务、审计、税务、经济、管理、法律、信息技术等领域的基本知识和基本理论；接受科学思维、会计理论与实践的基本训练，具备获取知识、应用知识及创新实践等专业能力，特别是将现代信息技术运用于会计实践的能力；学习和领会新时代中国特色社会主义的基本特征和主要矛盾，充分认识经济管理科学的进步、人才队伍对国家经济建设和社会发展的重要作用，树立强烈的民族使命感和社会责任感，具备良好的职业道德、人文素养、创新意识和团队合作精神。</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1：人文素养和思想道德</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具有社会主义核心价值观、正确的世界观、人生观和健康的身心，了解中国国情，具备人文素养、思辨能力和科学精神，能够正确地自我认知和评价。具有良好的社会道德、社会责任和担当精神，维护国家利益，在会计核算、纳税申报、财务决策、审计等实践中自觉遵守国家法律法规、诚实公正、诚信守则的职业道德和规范。</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1.1：</w:t>
      </w:r>
      <w:r>
        <w:rPr>
          <w:rFonts w:ascii="Times New Roman" w:hAnsi="Times New Roman" w:cs="Times New Roman" w:hint="default"/>
          <w:snapToGrid w:val="0"/>
          <w:color w:val="000000"/>
          <w:spacing w:val="0"/>
          <w:w w:val="100"/>
          <w:kern w:val="0"/>
          <w:position w:val="0"/>
          <w:szCs w:val="21"/>
        </w:rPr>
        <w:t>具有社会主义核心价值观、正确的世界观、人生观和健康的身心，了解中国国情，具备人文素养、思辨能力和科学精神，能够正确地自我认知和评价。</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1.2：</w:t>
      </w:r>
      <w:r>
        <w:rPr>
          <w:rFonts w:ascii="Times New Roman" w:hAnsi="Times New Roman" w:cs="Times New Roman" w:hint="default"/>
          <w:snapToGrid w:val="0"/>
          <w:color w:val="000000"/>
          <w:spacing w:val="0"/>
          <w:w w:val="100"/>
          <w:kern w:val="0"/>
          <w:position w:val="0"/>
          <w:szCs w:val="21"/>
        </w:rPr>
        <w:t>具有良好的社会道德、社会责任和担当精神，维护国家利益，在会计核算、纳税申报、财务决策、审计等实践中自觉遵守国家法律法规、诚实公正、诚信守则的职业道德和规范。</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2：专业基础理论和方法</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掌握本专业所需的数学、管理学、经济学、会计学、人文社会科学等理论知识，以及相关法律法规的基础知识；能够根据会计准则要求、经济环境发展以及企业需求，运用大数据等技术和智能会计信息系统，并体现创新意识。能够基于管理学和会计学领域的基本原理，通过文献研究和实地调研，针对复杂的投资、融资、运营、并购等业务，提出合理的备选方案。</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2.1：</w:t>
      </w:r>
      <w:r>
        <w:rPr>
          <w:rFonts w:ascii="Times New Roman" w:hAnsi="Times New Roman" w:cs="Times New Roman" w:hint="default"/>
          <w:snapToGrid w:val="0"/>
          <w:color w:val="000000"/>
          <w:spacing w:val="0"/>
          <w:w w:val="100"/>
          <w:kern w:val="0"/>
          <w:position w:val="0"/>
          <w:szCs w:val="21"/>
        </w:rPr>
        <w:t>掌握本专业所需的数学、管理学、经济学、会计学、人文社会科学等理论知识，以及相关法律法规的基础知识；</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2.2：</w:t>
      </w:r>
      <w:r>
        <w:rPr>
          <w:rFonts w:ascii="Times New Roman" w:hAnsi="Times New Roman" w:cs="Times New Roman" w:hint="default"/>
          <w:snapToGrid w:val="0"/>
          <w:color w:val="000000"/>
          <w:spacing w:val="0"/>
          <w:w w:val="100"/>
          <w:kern w:val="0"/>
          <w:position w:val="0"/>
          <w:szCs w:val="21"/>
        </w:rPr>
        <w:t>能够根据会计准则要求、经济环境发展以及企业需求，运用大数据等技术和智能会计信息系统，并体现创新意识。</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2.3：</w:t>
      </w:r>
      <w:r>
        <w:rPr>
          <w:rFonts w:ascii="Times New Roman" w:hAnsi="Times New Roman" w:cs="Times New Roman" w:hint="default"/>
          <w:snapToGrid w:val="0"/>
          <w:color w:val="000000"/>
          <w:spacing w:val="0"/>
          <w:w w:val="100"/>
          <w:kern w:val="0"/>
          <w:position w:val="0"/>
          <w:szCs w:val="21"/>
        </w:rPr>
        <w:t>能够基于管理学和会计学领域的基本原理，通过文献研究和实地调研，针对复杂的投资、融资、运营、并购等业务，提出合理的备选方案。</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3：专业技能</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能够根据企业需求，运用会计学专业知识和技能结合大数据技术等进行定量与定性的会计数据分析，能够与其他部门进行良好的沟通与交流，制定合适的单位会计制度和管理会计应用方案；能够就会计领域的复杂问题清晰地发表见解和意见，能与业界同行及社会公众进行有效沟通和交流。能够运用会计、税务和财务管理等理论分析和解决现实财会问题，并能够将理论与现实相结合，能够就财会领域复杂的问题撰写调研报告、方案书、学术论文等。至少掌握一门外语，具备一定的国际视野，尊重不同文化传统、不同价值观念，能够在跨文化背景下就会计领域复杂问题进行沟通和交流。</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3.1：</w:t>
      </w:r>
      <w:r>
        <w:rPr>
          <w:rFonts w:ascii="Times New Roman" w:hAnsi="Times New Roman" w:cs="Times New Roman" w:hint="default"/>
          <w:snapToGrid w:val="0"/>
          <w:color w:val="000000"/>
          <w:spacing w:val="0"/>
          <w:w w:val="100"/>
          <w:kern w:val="0"/>
          <w:position w:val="0"/>
          <w:szCs w:val="21"/>
        </w:rPr>
        <w:t>能够根据企业需求，运用会计学专业知识和技能结合大数据技术等进行定量与定性的会计数据分析，能够与其他部门进行良好的沟通与交流，制定合适的单位会计制度和管理会计应用方案；能够就会计领域的复杂问题清晰地发表见解和意见，能与业界同行及社会公众进行有效沟通和交流。</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3.2：</w:t>
      </w:r>
      <w:r>
        <w:rPr>
          <w:rFonts w:ascii="Times New Roman" w:hAnsi="Times New Roman" w:cs="Times New Roman" w:hint="default"/>
          <w:snapToGrid w:val="0"/>
          <w:color w:val="000000"/>
          <w:spacing w:val="0"/>
          <w:w w:val="100"/>
          <w:kern w:val="0"/>
          <w:position w:val="0"/>
          <w:szCs w:val="21"/>
        </w:rPr>
        <w:t>能够运用会计、税务和财务管理等理论分析和解决现实财会问题，并能够将理论与现实相结合，能够就财会领域复杂的问题撰写调研报告、方案书、学术论文等。</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3.3：</w:t>
      </w:r>
      <w:r>
        <w:rPr>
          <w:rFonts w:ascii="Times New Roman" w:hAnsi="Times New Roman" w:cs="Times New Roman" w:hint="default"/>
          <w:snapToGrid w:val="0"/>
          <w:color w:val="000000"/>
          <w:spacing w:val="0"/>
          <w:w w:val="100"/>
          <w:kern w:val="0"/>
          <w:position w:val="0"/>
          <w:szCs w:val="21"/>
        </w:rPr>
        <w:t>至少掌握一门外语，具备一定的国际视野，尊重不同文化传统、不同价值观念，能够在跨文化背景下就会计领域复杂问题进行沟通和交流。</w:t>
      </w:r>
    </w:p>
    <w:p>
      <w:pPr>
        <w:keepNext w:val="0"/>
        <w:keepLines w:val="0"/>
        <w:pageBreakBefore w:val="0"/>
        <w:wordWrap/>
        <w:overflowPunct/>
        <w:topLinePunct w:val="0"/>
        <w:bidi w:val="0"/>
        <w:snapToGrid/>
        <w:spacing w:line="360" w:lineRule="auto"/>
        <w:ind w:firstLine="420"/>
        <w:rPr>
          <w:rFonts w:ascii="Times New Roman" w:hAnsi="Times New Roman" w:cs="Times New Roman" w:hint="default"/>
          <w:b/>
          <w:spacing w:val="0"/>
          <w:w w:val="100"/>
          <w:kern w:val="0"/>
          <w:position w:val="0"/>
        </w:rPr>
      </w:pPr>
      <w:r>
        <w:rPr>
          <w:rFonts w:ascii="Times New Roman" w:hAnsi="Times New Roman" w:cs="Times New Roman" w:hint="default"/>
          <w:b/>
          <w:spacing w:val="0"/>
          <w:w w:val="100"/>
          <w:kern w:val="0"/>
          <w:position w:val="0"/>
        </w:rPr>
        <w:t>毕业要求 4：会计职业素养</w:t>
      </w:r>
      <w:r>
        <w:rPr>
          <w:rFonts w:ascii="Times New Roman" w:hAnsi="Times New Roman" w:cs="Times New Roman" w:hint="default"/>
          <w:b/>
          <w:spacing w:val="0"/>
          <w:w w:val="100"/>
          <w:kern w:val="0"/>
          <w:position w:val="0"/>
          <w:lang w:eastAsia="zh-CN"/>
        </w:rPr>
        <w:t>—</w:t>
      </w:r>
      <w:r>
        <w:rPr>
          <w:rFonts w:ascii="Times New Roman" w:hAnsi="Times New Roman" w:cs="Times New Roman" w:hint="default"/>
          <w:b/>
          <w:spacing w:val="0"/>
          <w:w w:val="100"/>
          <w:kern w:val="0"/>
          <w:position w:val="0"/>
        </w:rPr>
        <w:t>能够基于会计学的基本原理，通过文献研究和调研，开发、选择与使用恰当的互联网、大数据、区块链等信息技术，针对复杂会计问题的背景和需求进行分析，并提出合理的解决方案。能够有效选择和使用信息技术工具、智能会计软件等对会计数据进行分析与预测，能够在多学科环境中综合管理原理与运用智能会计与财务决策方法，开展投融资项目的论证、规划、组织实施和过程控制等。拥有健康的体魄和健全的人格，热爱劳动，崇尚创新，具有会计实习和社会实践的经历，熟悉与会计相关的行业政策、法律法规和质量管理体系。能跟踪社会进步和会计行业发展，具有自主学习和终身学习的意识，具有不断学习和适应社会与市场发展的能力。</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4.1：</w:t>
      </w:r>
      <w:r>
        <w:rPr>
          <w:rFonts w:ascii="Times New Roman" w:hAnsi="Times New Roman" w:cs="Times New Roman" w:hint="default"/>
          <w:snapToGrid w:val="0"/>
          <w:color w:val="000000"/>
          <w:spacing w:val="0"/>
          <w:w w:val="100"/>
          <w:kern w:val="0"/>
          <w:position w:val="0"/>
          <w:szCs w:val="21"/>
        </w:rPr>
        <w:t>能够基于会计学的基本原理，通过文献研究和调研，开发、选择与使用恰当的互联网、大数据、区块链等信息技术，针对复杂会计问题的背景和需求进行分析，并提出合理的解决方案。</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4.2：</w:t>
      </w:r>
      <w:r>
        <w:rPr>
          <w:rFonts w:ascii="Times New Roman" w:hAnsi="Times New Roman" w:cs="Times New Roman" w:hint="default"/>
          <w:snapToGrid w:val="0"/>
          <w:color w:val="000000"/>
          <w:spacing w:val="0"/>
          <w:w w:val="100"/>
          <w:kern w:val="0"/>
          <w:position w:val="0"/>
          <w:szCs w:val="21"/>
        </w:rPr>
        <w:t>能够有效选择和使用信息技术工具、智能会计软件等对会计数据进行分析与预测，能够在多学科环境中综合管理原理与运用智能会计与财务决策方法，开展投融资项目的论证、规划、组织实施和过程控制等。</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4.3：</w:t>
      </w:r>
      <w:r>
        <w:rPr>
          <w:rFonts w:ascii="Times New Roman" w:hAnsi="Times New Roman" w:cs="Times New Roman" w:hint="default"/>
          <w:snapToGrid w:val="0"/>
          <w:color w:val="000000"/>
          <w:spacing w:val="0"/>
          <w:w w:val="100"/>
          <w:kern w:val="0"/>
          <w:position w:val="0"/>
          <w:szCs w:val="21"/>
        </w:rPr>
        <w:t>拥有健康的体魄和健全的人格，热爱劳动，崇尚创新，具有会计实习和社会实践的经历，能从多渠道获得会计学领域的背景知识，熟悉与会计相关的行业政策、法律法规和质量管理体系。</w:t>
      </w:r>
    </w:p>
    <w:p>
      <w:pPr>
        <w:keepNext w:val="0"/>
        <w:keepLines w:val="0"/>
        <w:pageBreakBefore w:val="0"/>
        <w:widowControl/>
        <w:kinsoku w:val="0"/>
        <w:wordWrap/>
        <w:overflowPunct/>
        <w:topLinePunct w:val="0"/>
        <w:autoSpaceDE w:val="0"/>
        <w:autoSpaceDN w:val="0"/>
        <w:bidi w:val="0"/>
        <w:adjustRightInd w:val="0"/>
        <w:snapToGrid/>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rPr>
      </w:pPr>
      <w:r>
        <w:rPr>
          <w:rFonts w:ascii="Times New Roman" w:hAnsi="Times New Roman" w:cs="Times New Roman" w:hint="default"/>
          <w:b/>
          <w:snapToGrid w:val="0"/>
          <w:color w:val="000000"/>
          <w:spacing w:val="0"/>
          <w:w w:val="100"/>
          <w:kern w:val="0"/>
          <w:position w:val="0"/>
          <w:sz w:val="21"/>
          <w:szCs w:val="21"/>
          <w:lang w:eastAsia="zh-CN"/>
        </w:rPr>
        <w:t>内涵观测点 4.4：</w:t>
      </w:r>
      <w:r>
        <w:rPr>
          <w:rFonts w:ascii="Times New Roman" w:hAnsi="Times New Roman" w:cs="Times New Roman" w:hint="default"/>
          <w:snapToGrid w:val="0"/>
          <w:color w:val="000000"/>
          <w:spacing w:val="0"/>
          <w:w w:val="100"/>
          <w:kern w:val="0"/>
          <w:position w:val="0"/>
          <w:szCs w:val="21"/>
        </w:rPr>
        <w:t>能跟踪社会进步和会计行业发展，正确认识持续学习的重要性，具有自主学习和终身学习的意识。具备自我学习的方法和思维方式，能够针对个人职业发展需求制定学习计划，具有不断学习和适应社会与市场发展的能力。</w:t>
      </w: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textAlignment w:val="auto"/>
        <w:outlineLvl w:val="2"/>
        <w:rPr>
          <w:rFonts w:ascii="Times New Roman" w:hAnsi="Times New Roman" w:cs="Times New Roman" w:hint="default"/>
          <w:b/>
          <w:bCs w:val="0"/>
          <w:spacing w:val="0"/>
          <w:w w:val="100"/>
          <w:kern w:val="0"/>
          <w:position w:val="0"/>
          <w:sz w:val="24"/>
        </w:rPr>
      </w:pPr>
      <w:r>
        <w:rPr>
          <w:rFonts w:ascii="Times New Roman" w:hAnsi="Times New Roman" w:cs="Times New Roman" w:hint="default"/>
          <w:b/>
          <w:bCs w:val="0"/>
          <w:spacing w:val="0"/>
          <w:w w:val="100"/>
          <w:kern w:val="0"/>
          <w:position w:val="0"/>
          <w:sz w:val="24"/>
        </w:rPr>
        <w:t>三、毕业及学位要求</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学制：4年</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修业年限： 3~6年</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Cs w:val="21"/>
          <w:lang w:eastAsia="zh-CN"/>
        </w:rPr>
      </w:pPr>
      <w:r>
        <w:rPr>
          <w:rFonts w:ascii="Times New Roman" w:hAnsi="Times New Roman" w:cs="Times New Roman" w:hint="default"/>
          <w:snapToGrid w:val="0"/>
          <w:color w:val="000000"/>
          <w:spacing w:val="0"/>
          <w:w w:val="100"/>
          <w:kern w:val="0"/>
          <w:position w:val="0"/>
          <w:szCs w:val="21"/>
        </w:rPr>
        <w:t>毕业学分要求：不少于160学分</w:t>
      </w:r>
      <w:r>
        <w:rPr>
          <w:rFonts w:ascii="Times New Roman" w:hAnsi="Times New Roman" w:cs="Times New Roman" w:hint="default"/>
          <w:snapToGrid w:val="0"/>
          <w:color w:val="000000"/>
          <w:spacing w:val="0"/>
          <w:w w:val="100"/>
          <w:kern w:val="0"/>
          <w:position w:val="0"/>
          <w:szCs w:val="21"/>
          <w:lang w:eastAsia="zh-CN"/>
        </w:rPr>
        <w:t>。</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4"/>
          <w:position w:val="0"/>
          <w:szCs w:val="21"/>
        </w:rPr>
      </w:pPr>
      <w:r>
        <w:rPr>
          <w:rFonts w:ascii="Times New Roman" w:hAnsi="Times New Roman" w:cs="Times New Roman" w:hint="default"/>
          <w:snapToGrid w:val="0"/>
          <w:color w:val="000000"/>
          <w:spacing w:val="0"/>
          <w:w w:val="100"/>
          <w:kern w:val="0"/>
          <w:position w:val="0"/>
          <w:szCs w:val="21"/>
        </w:rPr>
        <w:t>授予学位：符合国家学位规定和山东理工大学学士学位授予条件者，授</w:t>
      </w:r>
      <w:r>
        <w:rPr>
          <w:rFonts w:ascii="Times New Roman" w:hAnsi="Times New Roman" w:cs="Times New Roman" w:hint="default"/>
          <w:snapToGrid w:val="0"/>
          <w:color w:val="000000"/>
          <w:spacing w:val="0"/>
          <w:w w:val="100"/>
          <w:kern w:val="4"/>
          <w:position w:val="0"/>
          <w:szCs w:val="21"/>
        </w:rPr>
        <w:t>予管理学学士学位。</w:t>
      </w:r>
    </w:p>
    <w:p>
      <w:pPr>
        <w:keepNext w:val="0"/>
        <w:keepLines w:val="0"/>
        <w:pageBreakBefore w:val="0"/>
        <w:widowControl w:val="0"/>
        <w:kinsoku/>
        <w:wordWrap/>
        <w:overflowPunct/>
        <w:topLinePunct w:val="0"/>
        <w:autoSpaceDE w:val="0"/>
        <w:autoSpaceDN w:val="0"/>
        <w:bidi w:val="0"/>
        <w:spacing w:before="159" w:beforeLines="50" w:after="159" w:afterLines="50" w:line="360" w:lineRule="auto"/>
        <w:textAlignment w:val="auto"/>
        <w:outlineLvl w:val="2"/>
        <w:rPr>
          <w:rFonts w:ascii="Times New Roman" w:hAnsi="Times New Roman" w:cs="Times New Roman" w:hint="default"/>
          <w:b/>
          <w:spacing w:val="0"/>
          <w:w w:val="100"/>
          <w:kern w:val="4"/>
          <w:position w:val="0"/>
          <w:sz w:val="24"/>
        </w:rPr>
      </w:pPr>
      <w:r>
        <w:rPr>
          <w:rFonts w:ascii="Times New Roman" w:hAnsi="Times New Roman" w:cs="Times New Roman" w:hint="default"/>
          <w:b/>
          <w:spacing w:val="0"/>
          <w:w w:val="100"/>
          <w:kern w:val="4"/>
          <w:position w:val="0"/>
          <w:sz w:val="24"/>
        </w:rPr>
        <w:t>四、课程设置</w:t>
      </w:r>
    </w:p>
    <w:p>
      <w:pPr>
        <w:spacing w:before="159" w:beforeLines="50" w:after="159" w:afterLines="50" w:line="360" w:lineRule="auto"/>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(一) 主干学科</w:t>
      </w:r>
    </w:p>
    <w:p>
      <w:pPr>
        <w:widowControl/>
        <w:kinsoku w:val="0"/>
        <w:autoSpaceDE w:val="0"/>
        <w:autoSpaceDN w:val="0"/>
        <w:adjustRightInd w:val="0"/>
        <w:snapToGrid w:val="0"/>
        <w:spacing w:line="360" w:lineRule="auto"/>
        <w:ind w:right="74" w:firstLine="420"/>
        <w:jc w:val="left"/>
        <w:textAlignment w:val="baseline"/>
        <w:rPr>
          <w:rFonts w:ascii="Times New Roman" w:eastAsia="宋体" w:hAnsi="Times New Roman" w:cs="Times New Roman" w:hint="default"/>
          <w:snapToGrid w:val="0"/>
          <w:color w:val="000000"/>
          <w:spacing w:val="0"/>
          <w:w w:val="100"/>
          <w:kern w:val="4"/>
          <w:position w:val="0"/>
          <w:szCs w:val="21"/>
          <w:lang w:eastAsia="zh-CN"/>
        </w:rPr>
      </w:pPr>
      <w:r>
        <w:rPr>
          <w:rFonts w:ascii="Times New Roman" w:hAnsi="Times New Roman" w:cs="Times New Roman" w:hint="default"/>
          <w:snapToGrid w:val="0"/>
          <w:color w:val="000000"/>
          <w:spacing w:val="0"/>
          <w:w w:val="100"/>
          <w:kern w:val="4"/>
          <w:position w:val="0"/>
          <w:szCs w:val="21"/>
        </w:rPr>
        <w:t>工商管理</w:t>
      </w:r>
    </w:p>
    <w:p>
      <w:pPr>
        <w:spacing w:before="159" w:beforeLines="50" w:after="159" w:afterLines="50" w:line="360" w:lineRule="auto"/>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(二) 核心课程及主要实践性教学环节</w:t>
      </w:r>
    </w:p>
    <w:p>
      <w:pPr>
        <w:spacing w:before="159" w:beforeLines="50" w:after="159" w:afterLines="50"/>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1、核心课程</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 w:val="21"/>
          <w:szCs w:val="21"/>
        </w:rPr>
      </w:pPr>
      <w:r>
        <w:rPr>
          <w:rFonts w:ascii="Times New Roman" w:hAnsi="Times New Roman" w:cs="Times New Roman" w:hint="default"/>
          <w:snapToGrid w:val="0"/>
          <w:color w:val="000000"/>
          <w:spacing w:val="0"/>
          <w:w w:val="100"/>
          <w:kern w:val="0"/>
          <w:position w:val="0"/>
          <w:sz w:val="21"/>
          <w:szCs w:val="21"/>
        </w:rPr>
        <w:t>基础会计、中级财务会计、高级财务会计、成本管理会计、财务管理、智能财务共享、审计学、智能会计信息系统、智能财务分析可视化、智能审计、大数据与智能财务决策、会计职业道德。</w:t>
      </w:r>
      <w:r>
        <w:br/>
      </w:r>
    </w:p>
    <w:p>
      <w:pPr>
        <w:spacing w:before="159" w:beforeLines="50" w:after="159" w:afterLines="50" w:line="360" w:lineRule="auto"/>
        <w:ind w:firstLine="420" w:firstLineChars="200"/>
        <w:rPr>
          <w:rFonts w:ascii="Times New Roman" w:hAnsi="Times New Roman" w:cs="Times New Roman" w:hint="default"/>
          <w:b/>
          <w:bCs/>
          <w:spacing w:val="0"/>
          <w:w w:val="100"/>
          <w:kern w:val="0"/>
          <w:position w:val="0"/>
          <w:sz w:val="21"/>
        </w:rPr>
      </w:pPr>
      <w:r>
        <w:rPr>
          <w:rFonts w:ascii="Times New Roman" w:hAnsi="Times New Roman" w:cs="Times New Roman" w:hint="default"/>
          <w:b/>
          <w:bCs/>
          <w:spacing w:val="0"/>
          <w:w w:val="100"/>
          <w:kern w:val="0"/>
          <w:position w:val="0"/>
          <w:sz w:val="21"/>
        </w:rPr>
        <w:t>2、主要实践性教学环节</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0"/>
          <w:position w:val="0"/>
          <w:sz w:val="21"/>
          <w:szCs w:val="21"/>
        </w:rPr>
      </w:pPr>
      <w:r>
        <w:rPr>
          <w:rFonts w:ascii="Times New Roman" w:hAnsi="Times New Roman" w:cs="Times New Roman" w:hint="default"/>
          <w:snapToGrid w:val="0"/>
          <w:color w:val="000000"/>
          <w:spacing w:val="0"/>
          <w:w w:val="100"/>
          <w:kern w:val="0"/>
          <w:position w:val="0"/>
          <w:sz w:val="21"/>
          <w:szCs w:val="21"/>
        </w:rPr>
        <w:t>入学教育及军训、基础会计模拟实习、会计综合模拟实习、思想政治理论课实践教学、财务机器人实习、智能会计信息系统实习、财务决策系统实习、智能财务共享实习、毕业实习、毕业论文。</w:t>
      </w:r>
    </w:p>
    <w:p>
      <w:pPr>
        <w:spacing w:before="159" w:beforeLines="50" w:after="159" w:afterLines="50"/>
        <w:ind w:firstLine="420" w:firstLineChars="200"/>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(三) 课程学分安排</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663"/>
        <w:gridCol w:w="2181"/>
        <w:gridCol w:w="281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6"/>
          <w:jc w:val="center"/>
        </w:trPr>
        <w:tc>
          <w:tcPr>
            <w:tcW w:w="2663" w:type="dxa"/>
            <w:vAlign w:val="center"/>
          </w:tcPr>
          <w:p>
            <w:pPr>
              <w:keepNext w:val="0"/>
              <w:keepLines w:val="0"/>
              <w:suppressLineNumbers w:val="0"/>
              <w:autoSpaceDE w:val="0"/>
              <w:autoSpaceDN w:val="0"/>
              <w:spacing w:before="0" w:beforeAutospacing="0" w:after="0" w:afterAutospacing="0" w:line="300" w:lineRule="auto"/>
              <w:ind w:left="0" w:right="0"/>
              <w:jc w:val="center"/>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b/>
                <w:spacing w:val="0"/>
                <w:w w:val="100"/>
                <w:kern w:val="4"/>
                <w:position w:val="0"/>
                <w:sz w:val="21"/>
                <w:szCs w:val="21"/>
                <w:lang w:val="en-US" w:eastAsia="zh-CN"/>
              </w:rPr>
              <w:t>课程类别</w:t>
            </w:r>
          </w:p>
        </w:tc>
        <w:tc>
          <w:tcPr>
            <w:tcW w:w="2181"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0"/>
                <w:sz w:val="21"/>
                <w:szCs w:val="21"/>
                <w:highlight w:val="none"/>
                <w:lang w:val="en-US" w:eastAsia="zh-CN" w:bidi="ar"/>
              </w:rPr>
            </w:pPr>
            <w:r>
              <w:rPr>
                <w:rFonts w:asciiTheme="minorEastAsia" w:eastAsiaTheme="minorEastAsia" w:hAnsiTheme="minorEastAsia" w:cstheme="minorEastAsia" w:hint="eastAsia"/>
                <w:b/>
                <w:spacing w:val="0"/>
                <w:w w:val="100"/>
                <w:kern w:val="4"/>
                <w:position w:val="0"/>
                <w:sz w:val="21"/>
                <w:szCs w:val="21"/>
                <w:lang w:eastAsia="en-US"/>
              </w:rPr>
              <w:t>应修学分</w:t>
            </w:r>
          </w:p>
        </w:tc>
        <w:tc>
          <w:tcPr>
            <w:tcW w:w="2819"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b/>
                <w:spacing w:val="0"/>
                <w:w w:val="100"/>
                <w:kern w:val="4"/>
                <w:position w:val="0"/>
                <w:sz w:val="21"/>
                <w:szCs w:val="21"/>
                <w:lang w:eastAsia="en-US"/>
              </w:rPr>
              <w:t>学分</w:t>
            </w:r>
            <w:r>
              <w:rPr>
                <w:rFonts w:asciiTheme="minorEastAsia" w:eastAsiaTheme="minorEastAsia" w:hAnsiTheme="minorEastAsia" w:cstheme="minorEastAsia" w:hint="eastAsia"/>
                <w:b/>
                <w:bCs/>
                <w:color w:val="auto"/>
                <w:kern w:val="0"/>
                <w:sz w:val="21"/>
                <w:szCs w:val="21"/>
                <w:highlight w:val="none"/>
                <w:lang w:val="en-US" w:eastAsia="zh-CN" w:bidi="ar"/>
              </w:rPr>
              <w:t>占比</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通识教育课程模块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46.5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29.06</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学科基础课</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32</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20</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专业教育课程模块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46.5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29.06</w:t>
            </w:r>
            <w:r>
              <w:rPr>
                <w:rFonts w:ascii="Times New Roman" w:eastAsia="仿宋" w:hAnsi="Times New Roman" w:cs="Times New Roman" w:hint="default"/>
                <w:color w:val="auto"/>
                <w:sz w:val="21"/>
                <w:szCs w:val="21"/>
                <w:highlight w:val="none"/>
                <w:vertAlign w:val="baseline"/>
                <w:lang w:val="en-US" w:eastAsia="zh-CN"/>
              </w:rPr>
              <w:t>%</w:t>
            </w:r>
          </w:p>
        </w:tc>
      </w:tr>
      <w:tr>
        <w:tblPrEx>
          <w:tblW w:w="0" w:type="auto"/>
          <w:jc w:val="center"/>
          <w:tblLayout w:type="fixed"/>
          <w:tblCellMar>
            <w:top w:w="0" w:type="dxa"/>
            <w:left w:w="108" w:type="dxa"/>
            <w:bottom w:w="0" w:type="dxa"/>
            <w:right w:w="108" w:type="dxa"/>
          </w:tblCellMar>
        </w:tblPrEx>
        <w:trPr>
          <w:jc w:val="center"/>
        </w:trPr>
        <w:tc>
          <w:tcPr>
            <w:tcW w:w="266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sz w:val="21"/>
                <w:szCs w:val="21"/>
                <w:highlight w:val="none"/>
                <w:vertAlign w:val="baseline"/>
                <w:lang w:val="en-US" w:eastAsia="zh-CN"/>
              </w:rPr>
            </w:pPr>
            <w:r>
              <w:rPr>
                <w:rFonts w:asciiTheme="minorEastAsia" w:eastAsiaTheme="minorEastAsia" w:hAnsiTheme="minorEastAsia" w:cstheme="minorEastAsia" w:hint="eastAsia"/>
                <w:color w:val="auto"/>
                <w:sz w:val="21"/>
                <w:szCs w:val="21"/>
                <w:highlight w:val="none"/>
                <w:vertAlign w:val="baseline"/>
                <w:lang w:val="en-US" w:eastAsia="zh-CN"/>
              </w:rPr>
              <w:t>集中实践环节模块</w:t>
            </w:r>
          </w:p>
        </w:tc>
        <w:tc>
          <w:tcPr>
            <w:tcW w:w="2181"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35</w:t>
            </w:r>
          </w:p>
        </w:tc>
        <w:tc>
          <w:tcPr>
            <w:tcW w:w="2819"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eastAsia="仿宋" w:hAnsi="Times New Roman" w:cs="Times New Roman" w:hint="default"/>
                <w:color w:val="auto"/>
                <w:sz w:val="21"/>
                <w:szCs w:val="21"/>
                <w:highlight w:val="none"/>
                <w:vertAlign w:val="baseline"/>
                <w:lang w:val="en-US" w:eastAsia="zh-CN"/>
              </w:rPr>
            </w:pPr>
            <w:r>
              <w:rPr>
                <w:rFonts w:ascii="Times New Roman" w:eastAsia="仿宋" w:hAnsi="Times New Roman" w:cs="Times New Roman" w:hint="default"/>
                <w:color w:val="auto"/>
                <w:sz w:val="21"/>
                <w:szCs w:val="21"/>
                <w:highlight w:val="none"/>
                <w:vertAlign w:val="baseline"/>
                <w:lang w:val="en-US" w:eastAsia="zh-CN"/>
              </w:rPr>
              <w:t>21.88</w:t>
            </w:r>
            <w:r>
              <w:rPr>
                <w:rFonts w:ascii="Times New Roman" w:eastAsia="仿宋" w:hAnsi="Times New Roman" w:cs="Times New Roman" w:hint="default"/>
                <w:color w:val="auto"/>
                <w:sz w:val="21"/>
                <w:szCs w:val="21"/>
                <w:highlight w:val="none"/>
                <w:vertAlign w:val="baseline"/>
                <w:lang w:val="en-US" w:eastAsia="zh-CN"/>
              </w:rPr>
              <w:t>%</w:t>
            </w:r>
          </w:p>
        </w:tc>
      </w:tr>
    </w:tbl>
    <w:p>
      <w:pPr>
        <w:rPr>
          <w:rFonts w:ascii="Times New Roman" w:hAnsi="Times New Roman" w:cs="Times New Roman" w:hint="default"/>
          <w:b/>
          <w:bCs/>
          <w:spacing w:val="0"/>
          <w:w w:val="100"/>
          <w:kern w:val="4"/>
          <w:position w:val="0"/>
        </w:r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654"/>
        <w:gridCol w:w="2181"/>
        <w:gridCol w:w="295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jc w:val="center"/>
        </w:trPr>
        <w:tc>
          <w:tcPr>
            <w:tcW w:w="2654"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2"/>
                <w:sz w:val="21"/>
                <w:szCs w:val="21"/>
                <w:highlight w:val="none"/>
                <w:vertAlign w:val="baseline"/>
                <w:lang w:val="en-US" w:eastAsia="zh-CN"/>
              </w:rPr>
            </w:pPr>
            <w:r>
              <w:rPr>
                <w:rFonts w:asciiTheme="minorEastAsia" w:eastAsiaTheme="minorEastAsia" w:hAnsiTheme="minorEastAsia" w:cstheme="minorEastAsia" w:hint="eastAsia"/>
                <w:b/>
                <w:bCs/>
                <w:color w:val="auto"/>
                <w:kern w:val="0"/>
                <w:sz w:val="21"/>
                <w:szCs w:val="21"/>
                <w:highlight w:val="none"/>
                <w:lang w:val="en-US" w:eastAsia="zh-CN" w:bidi="ar"/>
              </w:rPr>
              <w:t>分项统计</w:t>
            </w:r>
          </w:p>
        </w:tc>
        <w:tc>
          <w:tcPr>
            <w:tcW w:w="2181"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2"/>
                <w:sz w:val="21"/>
                <w:szCs w:val="21"/>
                <w:highlight w:val="none"/>
                <w:vertAlign w:val="baseline"/>
                <w:lang w:val="en-US" w:eastAsia="zh-CN"/>
              </w:rPr>
            </w:pPr>
            <w:r>
              <w:rPr>
                <w:rFonts w:asciiTheme="minorEastAsia" w:eastAsiaTheme="minorEastAsia" w:hAnsiTheme="minorEastAsia" w:cstheme="minorEastAsia" w:hint="eastAsia"/>
                <w:b/>
                <w:bCs/>
                <w:color w:val="auto"/>
                <w:kern w:val="0"/>
                <w:sz w:val="21"/>
                <w:szCs w:val="21"/>
                <w:highlight w:val="none"/>
                <w:lang w:val="en-US" w:eastAsia="zh-CN" w:bidi="ar"/>
              </w:rPr>
              <w:t>学分</w:t>
            </w:r>
          </w:p>
        </w:tc>
        <w:tc>
          <w:tcPr>
            <w:tcW w:w="2956"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heme="minorEastAsia" w:eastAsiaTheme="minorEastAsia" w:hAnsiTheme="minorEastAsia" w:cstheme="minorEastAsia" w:hint="eastAsia"/>
                <w:b/>
                <w:bCs/>
                <w:color w:val="auto"/>
                <w:kern w:val="0"/>
                <w:sz w:val="21"/>
                <w:szCs w:val="21"/>
                <w:highlight w:val="none"/>
                <w:lang w:val="en-US" w:eastAsia="zh-CN" w:bidi="ar"/>
              </w:rPr>
            </w:pPr>
            <w:r>
              <w:rPr>
                <w:rFonts w:asciiTheme="minorEastAsia" w:eastAsiaTheme="minorEastAsia" w:hAnsiTheme="minorEastAsia" w:cstheme="minorEastAsia" w:hint="eastAsia"/>
                <w:b/>
                <w:bCs/>
                <w:color w:val="auto"/>
                <w:kern w:val="0"/>
                <w:sz w:val="21"/>
                <w:szCs w:val="21"/>
                <w:highlight w:val="none"/>
                <w:lang w:val="en-US" w:eastAsia="zh-CN" w:bidi="ar"/>
              </w:rPr>
              <w:t>学分占比</w:t>
            </w:r>
          </w:p>
        </w:tc>
      </w:tr>
      <w:tr>
        <w:tblPrEx>
          <w:tblW w:w="0" w:type="auto"/>
          <w:jc w:val="center"/>
          <w:tblCellMar>
            <w:top w:w="0" w:type="dxa"/>
            <w:left w:w="108" w:type="dxa"/>
            <w:bottom w:w="0" w:type="dxa"/>
            <w:right w:w="108" w:type="dxa"/>
          </w:tblCellMar>
        </w:tblPrEx>
        <w:trPr>
          <w:jc w:val="center"/>
        </w:trPr>
        <w:tc>
          <w:tcPr>
            <w:tcW w:w="265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2"/>
                <w:sz w:val="21"/>
                <w:szCs w:val="21"/>
                <w:highlight w:val="none"/>
                <w:vertAlign w:val="baseline"/>
                <w:lang w:val="en-US" w:eastAsia="zh-CN"/>
              </w:rPr>
            </w:pPr>
            <w:r>
              <w:rPr>
                <w:rFonts w:asciiTheme="minorEastAsia" w:eastAsiaTheme="minorEastAsia" w:hAnsiTheme="minorEastAsia" w:cstheme="minorEastAsia" w:hint="eastAsia"/>
                <w:color w:val="auto"/>
                <w:kern w:val="2"/>
                <w:sz w:val="21"/>
                <w:szCs w:val="21"/>
                <w:highlight w:val="none"/>
                <w:vertAlign w:val="baseline"/>
                <w:lang w:val="en-US" w:eastAsia="zh-CN"/>
              </w:rPr>
              <w:t>应修的实践学分</w:t>
            </w:r>
          </w:p>
        </w:tc>
        <w:tc>
          <w:tcPr>
            <w:tcW w:w="2181"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37.3</w:t>
            </w:r>
          </w:p>
        </w:tc>
        <w:tc>
          <w:tcPr>
            <w:tcW w:w="2956" w:type="dxa"/>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23.31%</w:t>
            </w:r>
          </w:p>
        </w:tc>
      </w:tr>
      <w:tr>
        <w:tblPrEx>
          <w:tblW w:w="0" w:type="auto"/>
          <w:jc w:val="center"/>
          <w:tblCellMar>
            <w:top w:w="0" w:type="dxa"/>
            <w:left w:w="108" w:type="dxa"/>
            <w:bottom w:w="0" w:type="dxa"/>
            <w:right w:w="108" w:type="dxa"/>
          </w:tblCellMar>
        </w:tblPrEx>
        <w:trPr>
          <w:jc w:val="center"/>
        </w:trPr>
        <w:tc>
          <w:tcPr>
            <w:tcW w:w="2654"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heme="minorEastAsia" w:eastAsiaTheme="minorEastAsia" w:hAnsiTheme="minorEastAsia" w:cstheme="minorEastAsia" w:hint="eastAsia"/>
                <w:color w:val="auto"/>
                <w:kern w:val="2"/>
                <w:sz w:val="21"/>
                <w:szCs w:val="21"/>
                <w:highlight w:val="none"/>
                <w:vertAlign w:val="baseline"/>
                <w:lang w:val="en-US" w:eastAsia="zh-CN"/>
              </w:rPr>
            </w:pPr>
            <w:r>
              <w:rPr>
                <w:rFonts w:asciiTheme="minorEastAsia" w:eastAsiaTheme="minorEastAsia" w:hAnsiTheme="minorEastAsia" w:cstheme="minorEastAsia" w:hint="eastAsia"/>
                <w:color w:val="auto"/>
                <w:kern w:val="2"/>
                <w:sz w:val="21"/>
                <w:szCs w:val="21"/>
                <w:highlight w:val="none"/>
                <w:vertAlign w:val="baseline"/>
                <w:lang w:val="en-US" w:eastAsia="zh-CN"/>
              </w:rPr>
              <w:t>开设的选修课程</w:t>
            </w:r>
          </w:p>
        </w:tc>
        <w:tc>
          <w:tcPr>
            <w:tcW w:w="2181"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37.5</w:t>
            </w:r>
          </w:p>
        </w:tc>
        <w:tc>
          <w:tcPr>
            <w:tcW w:w="2956" w:type="dxa"/>
            <w:vAlign w:val="top"/>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firstLine="0" w:leftChars="0" w:firstLineChars="0"/>
              <w:jc w:val="center"/>
              <w:textAlignment w:val="auto"/>
              <w:rPr>
                <w:rFonts w:ascii="Times New Roman" w:hAnsi="Times New Roman" w:eastAsiaTheme="minorEastAsia" w:cs="Times New Roman" w:hint="default"/>
                <w:color w:val="auto"/>
                <w:kern w:val="2"/>
                <w:sz w:val="21"/>
                <w:szCs w:val="21"/>
                <w:highlight w:val="none"/>
                <w:vertAlign w:val="baseline"/>
                <w:lang w:val="en-US" w:eastAsia="zh-CN"/>
              </w:rPr>
            </w:pPr>
            <w:r>
              <w:rPr>
                <w:rFonts w:ascii="Times New Roman" w:hAnsi="Times New Roman" w:eastAsiaTheme="minorEastAsia" w:cs="Times New Roman" w:hint="default"/>
                <w:color w:val="auto"/>
                <w:kern w:val="2"/>
                <w:sz w:val="21"/>
                <w:szCs w:val="21"/>
                <w:highlight w:val="none"/>
                <w:vertAlign w:val="baseline"/>
                <w:lang w:val="en-US" w:eastAsia="zh-CN"/>
              </w:rPr>
              <w:t>23.44%</w:t>
            </w:r>
          </w:p>
        </w:tc>
      </w:tr>
    </w:tbl>
    <w:p>
      <w:pPr>
        <w:rPr>
          <w:rFonts w:ascii="Times New Roman" w:hAnsi="Times New Roman" w:cs="Times New Roman" w:hint="default"/>
          <w:b/>
          <w:bCs/>
          <w:spacing w:val="0"/>
          <w:w w:val="100"/>
          <w:kern w:val="4"/>
          <w:position w:val="0"/>
        </w:rPr>
      </w:pPr>
    </w:p>
    <w:p>
      <w:pPr>
        <w:keepNext w:val="0"/>
        <w:keepLines w:val="0"/>
        <w:pageBreakBefore w:val="0"/>
        <w:widowControl w:val="0"/>
        <w:kinsoku/>
        <w:wordWrap/>
        <w:overflowPunct/>
        <w:topLinePunct w:val="0"/>
        <w:autoSpaceDE/>
        <w:autoSpaceDN/>
        <w:bidi w:val="0"/>
        <w:adjustRightInd/>
        <w:snapToGrid/>
        <w:spacing w:before="159" w:beforeLines="50" w:after="159" w:afterLines="50" w:line="360" w:lineRule="auto"/>
        <w:ind w:firstLine="420" w:firstLineChars="200"/>
        <w:textAlignment w:val="auto"/>
        <w:rPr>
          <w:rFonts w:ascii="Times New Roman" w:hAnsi="Times New Roman" w:cs="Times New Roman" w:hint="default"/>
          <w:b/>
          <w:bCs/>
          <w:spacing w:val="0"/>
          <w:w w:val="100"/>
          <w:kern w:val="4"/>
          <w:position w:val="0"/>
        </w:rPr>
      </w:pPr>
      <w:r>
        <w:rPr>
          <w:rFonts w:ascii="Times New Roman" w:hAnsi="Times New Roman" w:cs="Times New Roman" w:hint="default"/>
          <w:b/>
          <w:bCs/>
          <w:spacing w:val="0"/>
          <w:w w:val="100"/>
          <w:kern w:val="4"/>
          <w:position w:val="0"/>
        </w:rPr>
        <w:t>(四) 第二课堂</w:t>
      </w:r>
    </w:p>
    <w:p>
      <w:pPr>
        <w:widowControl/>
        <w:kinsoku w:val="0"/>
        <w:autoSpaceDE w:val="0"/>
        <w:autoSpaceDN w:val="0"/>
        <w:adjustRightInd w:val="0"/>
        <w:snapToGrid w:val="0"/>
        <w:spacing w:line="360" w:lineRule="auto"/>
        <w:ind w:right="74" w:firstLine="420"/>
        <w:jc w:val="left"/>
        <w:textAlignment w:val="baseline"/>
        <w:rPr>
          <w:rFonts w:ascii="Times New Roman" w:hAnsi="Times New Roman" w:cs="Times New Roman" w:hint="default"/>
          <w:snapToGrid w:val="0"/>
          <w:color w:val="000000"/>
          <w:spacing w:val="0"/>
          <w:w w:val="100"/>
          <w:kern w:val="4"/>
          <w:position w:val="0"/>
          <w:szCs w:val="21"/>
        </w:rPr>
        <w:sectPr>
          <w:footerReference w:type="default" r:id="rId5"/>
          <w:pgSz w:w="11905" w:h="16838"/>
          <w:pgMar w:top="1417" w:right="1134" w:bottom="1417" w:left="1134" w:header="850" w:footer="850" w:gutter="0"/>
          <w:pgNumType w:fmt="decimal" w:start="1"/>
          <w:cols w:num="1" w:space="0"/>
          <w:rtlGutter w:val="0"/>
          <w:docGrid w:type="linesAndChars" w:linePitch="318" w:charSpace="0"/>
        </w:sectPr>
      </w:pPr>
      <w:r>
        <w:rPr>
          <w:rFonts w:ascii="Times New Roman" w:hAnsi="Times New Roman" w:cs="Times New Roman" w:hint="default"/>
          <w:snapToGrid w:val="0"/>
          <w:color w:val="000000"/>
          <w:spacing w:val="0"/>
          <w:w w:val="100"/>
          <w:kern w:val="4"/>
          <w:position w:val="0"/>
          <w:szCs w:val="21"/>
          <w:lang w:eastAsia="zh-CN"/>
        </w:rPr>
        <w:t>第二课堂活动全方位育人，协同支撑专业毕业要求达成，分模块进行分类记录和管理，不少于8学分，包含三周劳动实践。第二课堂学分不计入总学分。</w:t>
      </w:r>
    </w:p>
    <w:p>
      <w:pPr>
        <w:keepNext w:val="0"/>
        <w:keepLines w:val="0"/>
        <w:pageBreakBefore w:val="0"/>
        <w:widowControl w:val="0"/>
        <w:kinsoku/>
        <w:wordWrap/>
        <w:overflowPunct/>
        <w:topLinePunct w:val="0"/>
        <w:autoSpaceDE w:val="0"/>
        <w:autoSpaceDN w:val="0"/>
        <w:bidi w:val="0"/>
        <w:spacing w:before="156" w:beforeLines="50" w:after="156" w:afterLines="50" w:line="360" w:lineRule="auto"/>
        <w:textAlignment w:val="auto"/>
        <w:outlineLvl w:val="2"/>
        <w:rPr>
          <w:rFonts w:ascii="Times New Roman" w:hAnsi="Times New Roman" w:cs="Times New Roman" w:hint="default"/>
          <w:b/>
          <w:spacing w:val="0"/>
          <w:w w:val="100"/>
          <w:kern w:val="4"/>
          <w:position w:val="0"/>
          <w:sz w:val="24"/>
        </w:rPr>
      </w:pPr>
      <w:r>
        <w:rPr>
          <w:rFonts w:ascii="Times New Roman" w:hAnsi="Times New Roman" w:cs="Times New Roman" w:hint="default"/>
          <w:b/>
          <w:spacing w:val="0"/>
          <w:w w:val="100"/>
          <w:kern w:val="4"/>
          <w:position w:val="0"/>
          <w:sz w:val="24"/>
        </w:rPr>
        <w:t>五、专业课程设置一览表（中英文对照）</w:t>
      </w:r>
    </w:p>
    <w:tbl>
      <w:tblPr>
        <w:tblStyle w:val="TableNormal"/>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0" w:type="dxa"/>
          <w:bottom w:w="0" w:type="dxa"/>
          <w:right w:w="0" w:type="dxa"/>
        </w:tblCellMar>
      </w:tblPr>
      <w:tblGrid>
        <w:gridCol w:w="459"/>
        <w:gridCol w:w="487"/>
        <w:gridCol w:w="1116"/>
        <w:gridCol w:w="883"/>
        <w:gridCol w:w="621"/>
        <w:gridCol w:w="753"/>
        <w:gridCol w:w="751"/>
        <w:gridCol w:w="571"/>
        <w:gridCol w:w="605"/>
        <w:gridCol w:w="531"/>
        <w:gridCol w:w="567"/>
        <w:gridCol w:w="709"/>
        <w:gridCol w:w="524"/>
        <w:gridCol w:w="1007"/>
      </w:tblGrid>
      <w:tr>
        <w:tblPrEx>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ayout w:type="fixed"/>
          <w:tblCellMar>
            <w:top w:w="0" w:type="dxa"/>
            <w:left w:w="0" w:type="dxa"/>
            <w:bottom w:w="0" w:type="dxa"/>
            <w:right w:w="0" w:type="dxa"/>
          </w:tblCellMar>
        </w:tblPrEx>
        <w:trPr>
          <w:trHeight w:val="510"/>
          <w:tblHeader/>
          <w:jc w:val="center"/>
        </w:trPr>
        <w:tc>
          <w:tcPr>
            <w:tcW w:w="946" w:type="dxa"/>
            <w:gridSpan w:val="2"/>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类别</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代码</w:t>
            </w:r>
          </w:p>
        </w:tc>
        <w:tc>
          <w:tcPr>
            <w:tcW w:w="3579" w:type="dxa"/>
            <w:gridSpan w:val="5"/>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课程名称</w:t>
            </w:r>
          </w:p>
        </w:tc>
        <w:tc>
          <w:tcPr>
            <w:tcW w:w="605"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学分</w:t>
            </w:r>
          </w:p>
        </w:tc>
        <w:tc>
          <w:tcPr>
            <w:tcW w:w="531"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总</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学时</w:t>
            </w:r>
          </w:p>
        </w:tc>
        <w:tc>
          <w:tcPr>
            <w:tcW w:w="567"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理论学时</w:t>
            </w:r>
          </w:p>
        </w:tc>
        <w:tc>
          <w:tcPr>
            <w:tcW w:w="709"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实验实践学时</w:t>
            </w:r>
          </w:p>
        </w:tc>
        <w:tc>
          <w:tcPr>
            <w:tcW w:w="524"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开课</w:t>
            </w:r>
          </w:p>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学期</w:t>
            </w:r>
          </w:p>
        </w:tc>
        <w:tc>
          <w:tcPr>
            <w:tcW w:w="1007"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exact"/>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备注</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思想道德与法治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Ideology, Morality, and Rule of Law</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中国近现代史纲要</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Outline of Modern Chinese History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马克思主义基本原理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Basic Principles of Marxism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习近平新时代中国特色社会主义思想概论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Xi Jinping's Introduction to Socialism with Chinese Characteristics in the New Era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毛泽东思想和中国特色社会主义理论体系概论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Mao Zedong Thought &amp; Outline of Theory of Socialism With Chinese Characteristics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231811006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形势与政策Ⅳ</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Situation and Policy IV</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中国共产党史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the Communist Party of China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中华人民共和国史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the People's Republic of China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改革开放史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Reform and Opening Up</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思想政治课程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211812004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社会主义发展史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History of Socialist Development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四选一</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213111001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军事理论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Military Theory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体育Ⅴ</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Ⅴ</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Ⅵ</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Ⅲ</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选修运动项目2学分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军体课程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232111004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体育Ⅳ</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Physical Education Ⅳ</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选修运动项目2学分</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211611005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大学英语听说Ⅰ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Listening and SpeakingⅠ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大学英语读写Ⅰ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Reading and WritingⅠ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211611006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大学英语听说Ⅱ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Listening and SpeakingⅡ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大学英语读写Ⅱ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Reading and Writing 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新文科大学英语Ⅰ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for New Liberal Arts 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外语课程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251611006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新文科大学英语Ⅱ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College English for New Liberal Arts 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230518004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计算思维与人工智能导论(B)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Computational Thinking and Introduction to  Artificial Intelligence(B)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230518008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Python程序设计(B)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Python programmin(B)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信息课程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252718001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信息检索与数智素养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Information Retrieval and Digital-Intelligent Literacy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238112001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大学生心理健康教育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Psychological Health Education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美育限选课(学生自选)</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科学技术类(学生自选)</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211811011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大学生国家安全教育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National Security Education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232612001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中国传统文化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Traditional Chinese Culture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232612002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大学生劳动教育</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Labor Education for University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258322003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大学生职业生涯规划与就业指导III</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StudentsIII</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X6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其他公选类</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通识教育选修课程</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238322004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大学生职业生涯规划与就业指导IV</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Career Planning and Employment Guidance for College StudentsIV</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选修至少10学分，至少选修2学分美育课程，至少选修2学分科学技术类课程。</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46.5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29</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17.5</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val="restart"/>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高等数学(A)Ⅰ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Mathematics (A)Ⅰ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211418019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管理学原理</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Principles of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高等数学(A)Ⅱ</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Mathematics (A)Ⅱ</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211418016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财经法规</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Law</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251311003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微观经济学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Microeconomics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线性代数(C)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Linear Algebra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211118913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概率论与数理统计(D)</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Probability Theory and Mathematical Statistics (D)</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251318501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宏观经济学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Macro economics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统计学原理(C)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Principles of Statistics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211418057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管理运筹学(C)</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Managerial Operations Research (C)</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211318903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计量经济学与STATA应用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Econometrics and STATA Applications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学科基础课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创业项目财务规划与可行性分析</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Planning and Feasibility Analysis of Innovation Project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32</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32</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0</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237412001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创新方法基础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Innovation Methods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会计学专业导论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Introduction?to?Accounting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基础会计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Primary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231418207</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中级财务会计Ⅰ</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Intermediate Financial AccountingⅠ</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237412002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大学生创业基础</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Fundamentals of Entrepreneurship for College Students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251411042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智能会计概论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Introduction to Intelligent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高级财务会计(B)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Advanced Financial Accounting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211418399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智能会计信息系统</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Information System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财务管理(B)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64</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211418109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审计学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Auditing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智能财务共享</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Smart Financial Sharing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231418212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成本管理会计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Cost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专业必修课</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7522" w:type="dxa"/>
            <w:gridSpan w:val="11"/>
            <w:shd w:val="clear" w:color="auto" w:fill="auto"/>
            <w:tcMar>
              <w:top w:w="15" w:type="dxa"/>
              <w:left w:w="15" w:type="dxa"/>
              <w:bottom w:w="0"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30.5</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val="restart"/>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税法与纳税实务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and Principles of Taxation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48</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211418395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机器学习与数据挖掘</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Machine Learning and Data Mining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纳税筹划</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Tax Planning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内部控制</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Internal Control</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金融会计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Excel在会计和财务中的应用</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Excel Application in Accounting and Finance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211418172</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文本分析与文本挖掘</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Text Mining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政府与非营利组织会计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Government and Non-profit Organization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211418128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管理会计理论专题</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Seminar on Management Accounting Theory</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211418158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管理信息系统(B)</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Management Information System (B)</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211418261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国际财务管理(双语)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International Financial Management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40</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211418401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大数据与智能财务决策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Big Data and Intelligent Financial Decision</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211418403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智能财务分析可视化</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Analysis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211418404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神经网络与深度学习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Neural network and deep learning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231418205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智能审计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Intelligent Auditing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211318918</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证券投资学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Stock Investment</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211418084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会计职业道德</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Professional Ethics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16</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211418111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会计专业英语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English</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251411030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创业企业财务管理咨询实务</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Innovation Financial Management Consulting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32</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459" w:type="dxa"/>
            <w:vMerg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专业教育课程模块</w:t>
            </w:r>
          </w:p>
        </w:tc>
        <w:tc>
          <w:tcPr>
            <w:tcW w:w="487" w:type="dxa"/>
            <w:vMerge/>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360" w:lineRule="exact"/>
              <w:ind w:left="0" w:right="0"/>
              <w:jc w:val="center"/>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专业选修课</w:t>
            </w:r>
          </w:p>
        </w:tc>
        <w:tc>
          <w:tcPr>
            <w:tcW w:w="1116" w:type="dxa"/>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7522" w:type="dxa"/>
            <w:gridSpan w:val="11"/>
            <w:shd w:val="clear" w:color="auto" w:fill="auto"/>
            <w:tcMar>
              <w:top w:w="15" w:type="dxa"/>
              <w:left w:w="15" w:type="dxa"/>
              <w:bottom w:w="0"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46.5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30.5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val="restart"/>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213124001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入学教育及军训</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Entrance Orientation &amp; Military Training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w:t>
            </w:r>
          </w:p>
        </w:tc>
        <w:tc>
          <w:tcPr>
            <w:tcW w:w="1007" w:type="dxa"/>
            <w:vMerge w:val="restart"/>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211414013</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基础会计模拟实习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Primary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233114001</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劳动教育实践</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Labor Education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0.5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211414014</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会计综合模拟实习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Comprehensive Practice of Accounting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211414265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智能会计信息系统</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Intelligent Accounting Information System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211814010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思想政治理论课实践教学</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The Practice of Ideological and Political Theory Course Teaching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4</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211414266</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财务决策系统</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Financial Decision System</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5</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211414260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财务机器人</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RPA</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6</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251411025</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智能财务共享实习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Practice of smart Financial Sharing</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2.5</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3.0周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7</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211414019</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会计学专业毕业实习</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Graduation Practice</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10"/>
          <w:jc w:val="center"/>
        </w:trPr>
        <w:tc>
          <w:tcPr>
            <w:tcW w:w="946" w:type="dxa"/>
            <w:gridSpan w:val="2"/>
            <w:vMerge/>
            <w:shd w:val="clear" w:color="auto" w:fill="auto"/>
            <w:vAlign w:val="center"/>
          </w:tcPr>
          <w:p>
            <w:pPr>
              <w:keepNext w:val="0"/>
              <w:keepLines w:val="0"/>
              <w:suppressLineNumbers w:val="0"/>
              <w:adjustRightInd w:val="0"/>
              <w:snapToGrid w:val="0"/>
              <w:spacing w:before="0" w:beforeAutospacing="0" w:after="0" w:afterAutospacing="0" w:line="340" w:lineRule="exact"/>
              <w:ind w:left="0" w:right="0"/>
              <w:rPr>
                <w:rFonts w:ascii="Times New Roman" w:hAnsi="Times New Roman" w:cs="Times New Roman" w:hint="default"/>
                <w:b/>
                <w:color w:val="000000" w:themeColor="text1"/>
                <w:spacing w:val="0"/>
                <w:w w:val="100"/>
                <w:kern w:val="4"/>
                <w:position w:val="0"/>
                <w:sz w:val="18"/>
                <w:szCs w:val="18"/>
              </w:rPr>
            </w:pPr>
            <w:r>
              <w:rPr>
                <w:rFonts w:ascii="Times New Roman" w:hAnsi="Times New Roman" w:cs="Times New Roman" w:hint="default"/>
                <w:b/>
                <w:color w:val="000000" w:themeColor="text1"/>
                <w:spacing w:val="0"/>
                <w:w w:val="100"/>
                <w:kern w:val="4"/>
                <w:position w:val="0"/>
                <w:sz w:val="18"/>
                <w:szCs w:val="18"/>
              </w:rPr>
              <w:t>集中实践环节模块</w:t>
            </w:r>
          </w:p>
        </w:tc>
        <w:tc>
          <w:tcPr>
            <w:tcW w:w="1116"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211414020</w:t>
            </w:r>
          </w:p>
        </w:tc>
        <w:tc>
          <w:tcPr>
            <w:tcW w:w="3579" w:type="dxa"/>
            <w:gridSpan w:val="5"/>
            <w:shd w:val="clear" w:color="auto" w:fill="auto"/>
            <w:tcMar>
              <w:top w:w="15" w:type="dxa"/>
              <w:left w:w="15" w:type="dxa"/>
              <w:bottom w:w="0" w:type="dxa"/>
              <w:right w:w="15" w:type="dxa"/>
            </w:tcMar>
            <w:vAlign w:val="center"/>
          </w:tcPr>
          <w:p>
            <w:pPr>
              <w:keepNext w:val="0"/>
              <w:keepLines w:val="0"/>
              <w:pageBreakBefore w:val="0"/>
              <w:suppressLineNumbers w:val="0"/>
              <w:wordWrap/>
              <w:overflowPunct/>
              <w:topLinePunct w:val="0"/>
              <w:bidi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color w:val="000000" w:themeColor="text1"/>
                <w:spacing w:val="0"/>
                <w:w w:val="100"/>
                <w:kern w:val="4"/>
                <w:position w:val="0"/>
                <w:sz w:val="18"/>
                <w:szCs w:val="18"/>
              </w:rPr>
              <w:t>会计学专业毕业论文</w:t>
            </w:r>
          </w:p>
          <w:p>
            <w:pPr>
              <w:keepNext w:val="0"/>
              <w:keepLines w:val="0"/>
              <w:pageBreakBefore w:val="0"/>
              <w:suppressLineNumbers w:val="0"/>
              <w:wordWrap/>
              <w:overflowPunct/>
              <w:topLinePunct w:val="0"/>
              <w:bidi w:val="0"/>
              <w:snapToGrid w:val="0"/>
              <w:spacing w:before="0" w:beforeAutospacing="0" w:after="0" w:afterAutospacing="0" w:line="240" w:lineRule="auto"/>
              <w:ind w:left="0" w:right="0"/>
              <w:jc w:val="left"/>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Accounting Graduation Thesis</w:t>
            </w:r>
          </w:p>
        </w:tc>
        <w:tc>
          <w:tcPr>
            <w:tcW w:w="605"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w:t>
            </w:r>
          </w:p>
        </w:tc>
        <w:tc>
          <w:tcPr>
            <w:tcW w:w="531"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14.0周</w:t>
            </w:r>
          </w:p>
        </w:tc>
        <w:tc>
          <w:tcPr>
            <w:tcW w:w="567"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w:t>
            </w:r>
          </w:p>
        </w:tc>
        <w:tc>
          <w:tcPr>
            <w:tcW w:w="709"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14.0周</w:t>
            </w:r>
          </w:p>
        </w:tc>
        <w:tc>
          <w:tcPr>
            <w:tcW w:w="524" w:type="dxa"/>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eastAsia="Times New Roman" w:hAnsi="Times New Roman" w:cs="Times New Roman" w:hint="default"/>
                <w:color w:val="000000" w:themeColor="text1"/>
                <w:spacing w:val="0"/>
                <w:w w:val="100"/>
                <w:kern w:val="4"/>
                <w:position w:val="0"/>
                <w:sz w:val="18"/>
                <w:szCs w:val="18"/>
              </w:rPr>
              <w:t>8</w:t>
            </w:r>
          </w:p>
        </w:tc>
        <w:tc>
          <w:tcPr>
            <w:tcW w:w="1007" w:type="dxa"/>
            <w:vMerge/>
            <w:shd w:val="clear" w:color="auto" w:fill="auto"/>
            <w:tcMar>
              <w:top w:w="15" w:type="dxa"/>
              <w:left w:w="15" w:type="dxa"/>
              <w:bottom w:w="0" w:type="dxa"/>
              <w:right w:w="15" w:type="dxa"/>
            </w:tcMar>
            <w:vAlign w:val="center"/>
          </w:tcPr>
          <w:p>
            <w:pPr>
              <w:keepNext w:val="0"/>
              <w:keepLines w:val="0"/>
              <w:suppressLineNumbers w:val="0"/>
              <w:snapToGrid w:val="0"/>
              <w:spacing w:before="0" w:beforeAutospacing="0" w:after="0" w:afterAutospacing="0" w:line="240" w:lineRule="auto"/>
              <w:ind w:left="0" w:right="0"/>
              <w:rPr>
                <w:rFonts w:ascii="Times New Roman" w:hAnsi="Times New Roman" w:cs="Times New Roman" w:hint="default"/>
                <w:color w:val="000000" w:themeColor="text1"/>
                <w:spacing w:val="0"/>
                <w:w w:val="100"/>
                <w:kern w:val="4"/>
                <w:position w:val="0"/>
                <w:sz w:val="18"/>
                <w:szCs w:val="18"/>
              </w:rPr>
            </w:pPr>
            <w:r>
              <w:rPr>
                <w:rFonts w:ascii="Times New Roman" w:cs="Times New Roman" w:hint="default"/>
                <w:color w:val="000000"/>
                <w:spacing w:val="0"/>
                <w:w w:val="100"/>
                <w:kern w:val="4"/>
                <w:position w:val="0"/>
                <w:sz w:val="18"/>
              </w:rPr>
              <w:t>工程训练A-C开课学期3或4；DI开课学期1或2，DII开课学期3或4</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35</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0</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2062" w:type="dxa"/>
            <w:gridSpan w:val="3"/>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应修学分总计</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160</w:t>
            </w:r>
          </w:p>
        </w:tc>
        <w:tc>
          <w:tcPr>
            <w:tcW w:w="1504"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必修学分</w:t>
            </w:r>
          </w:p>
        </w:tc>
        <w:tc>
          <w:tcPr>
            <w:tcW w:w="1707"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126.5</w:t>
            </w:r>
          </w:p>
        </w:tc>
        <w:tc>
          <w:tcPr>
            <w:tcW w:w="1276"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选修学分</w:t>
            </w:r>
          </w:p>
        </w:tc>
        <w:tc>
          <w:tcPr>
            <w:tcW w:w="1531" w:type="dxa"/>
            <w:gridSpan w:val="2"/>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0" w:beforeAutospacing="0" w:after="0" w:afterAutospacing="0" w:line="240" w:lineRule="auto"/>
              <w:ind w:left="0" w:right="0"/>
              <w:jc w:val="center"/>
              <w:rPr>
                <w:rFonts w:ascii="Times New Roman" w:hAnsi="Times New Roman" w:cs="Times New Roman" w:hint="default"/>
                <w:b/>
                <w:bCs/>
                <w:color w:val="000000" w:themeColor="text1"/>
                <w:spacing w:val="0"/>
                <w:w w:val="100"/>
                <w:kern w:val="4"/>
                <w:position w:val="0"/>
                <w:sz w:val="18"/>
                <w:szCs w:val="18"/>
              </w:rPr>
            </w:pPr>
            <w:r>
              <w:rPr>
                <w:rFonts w:ascii="Times New Roman" w:hAnsi="Times New Roman" w:cs="Times New Roman" w:hint="default"/>
                <w:b/>
                <w:bCs/>
                <w:color w:val="000000" w:themeColor="text1"/>
                <w:spacing w:val="0"/>
                <w:w w:val="100"/>
                <w:kern w:val="4"/>
                <w:position w:val="0"/>
                <w:sz w:val="18"/>
                <w:szCs w:val="18"/>
              </w:rPr>
              <w:t>33.5</w:t>
            </w:r>
          </w:p>
        </w:tc>
      </w:tr>
      <w:tr>
        <w:tblPrEx>
          <w:tblW w:w="9584" w:type="dxa"/>
          <w:jc w:val="center"/>
          <w:shd w:val="clear" w:color="auto" w:fill="auto"/>
          <w:tblLayout w:type="fixed"/>
          <w:tblCellMar>
            <w:top w:w="0" w:type="dxa"/>
            <w:left w:w="0" w:type="dxa"/>
            <w:bottom w:w="0" w:type="dxa"/>
            <w:right w:w="0" w:type="dxa"/>
          </w:tblCellMar>
        </w:tblPrEx>
        <w:trPr>
          <w:trHeight w:val="567"/>
          <w:jc w:val="center"/>
        </w:trPr>
        <w:tc>
          <w:tcPr>
            <w:tcW w:w="946"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hAnsi="Times New Roman" w:cs="Times New Roman" w:hint="default"/>
                <w:b/>
                <w:bCs/>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制定</w:t>
            </w:r>
          </w:p>
        </w:tc>
        <w:tc>
          <w:tcPr>
            <w:tcW w:w="1999"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eastAsia="宋体" w:hAnsi="Times New Roman" w:cs="Times New Roman" w:hint="eastAsia"/>
                <w:color w:val="000000" w:themeColor="text1"/>
                <w:spacing w:val="0"/>
                <w:w w:val="100"/>
                <w:kern w:val="4"/>
                <w:position w:val="0"/>
                <w:sz w:val="24"/>
                <w:lang w:eastAsia="zh-CN"/>
              </w:rPr>
            </w:pPr>
            <w:r>
              <w:rPr>
                <w:rFonts w:ascii="Times New Roman" w:eastAsia="宋体" w:hAnsi="Times New Roman" w:cs="Times New Roman" w:hint="eastAsia"/>
                <w:b/>
                <w:bCs/>
                <w:color w:val="000000" w:themeColor="text1"/>
                <w:spacing w:val="0"/>
                <w:w w:val="100"/>
                <w:kern w:val="4"/>
                <w:position w:val="0"/>
                <w:sz w:val="24"/>
                <w:lang w:eastAsia="zh-CN"/>
              </w:rPr>
              <w:drawing>
                <wp:inline distT="0" distB="0" distL="114300" distR="114300">
                  <wp:extent cx="831215" cy="353695"/>
                  <wp:effectExtent l="0" t="0" r="6985" b="8255"/>
                  <wp:docPr id="3" name="图片 3"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642996" name="图片 3" descr="图片签章"/>
                          <pic:cNvPicPr>
                            <a:picLocks noChangeAspect="1"/>
                          </pic:cNvPicPr>
                        </pic:nvPicPr>
                        <pic:blipFill>
                          <a:blip xmlns:r="http://schemas.openxmlformats.org/officeDocument/2006/relationships" r:embed="rId6"/>
                          <a:stretch>
                            <a:fillRect/>
                          </a:stretch>
                        </pic:blipFill>
                        <pic:spPr>
                          <a:xfrm>
                            <a:off x="0" y="0"/>
                            <a:ext cx="831215" cy="353695"/>
                          </a:xfrm>
                          <a:prstGeom prst="rect">
                            <a:avLst/>
                          </a:prstGeom>
                        </pic:spPr>
                      </pic:pic>
                    </a:graphicData>
                  </a:graphic>
                </wp:inline>
              </w:drawing>
            </w:r>
          </w:p>
        </w:tc>
        <w:tc>
          <w:tcPr>
            <w:tcW w:w="1374"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hAnsi="Times New Roman" w:cs="Times New Roman" w:hint="default"/>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审核</w:t>
            </w:r>
          </w:p>
        </w:tc>
        <w:tc>
          <w:tcPr>
            <w:tcW w:w="1322" w:type="dxa"/>
            <w:gridSpan w:val="2"/>
            <w:shd w:val="clear" w:color="auto" w:fill="auto"/>
            <w:vAlign w:val="center"/>
          </w:tcPr>
          <w:p>
            <w:pPr>
              <w:keepNext w:val="0"/>
              <w:keepLines w:val="0"/>
              <w:suppressLineNumbers w:val="0"/>
              <w:adjustRightInd w:val="0"/>
              <w:snapToGrid w:val="0"/>
              <w:spacing w:before="3" w:beforeLines="1" w:beforeAutospacing="0" w:after="3" w:afterLines="1" w:afterAutospacing="0" w:line="240" w:lineRule="auto"/>
              <w:ind w:left="0" w:right="0"/>
              <w:jc w:val="center"/>
              <w:rPr>
                <w:rFonts w:ascii="Times New Roman" w:eastAsia="宋体" w:hAnsi="Times New Roman" w:cs="Times New Roman" w:hint="eastAsia"/>
                <w:b/>
                <w:bCs/>
                <w:color w:val="000000" w:themeColor="text1"/>
                <w:spacing w:val="0"/>
                <w:w w:val="100"/>
                <w:kern w:val="4"/>
                <w:position w:val="0"/>
                <w:sz w:val="24"/>
                <w:lang w:eastAsia="zh-CN"/>
              </w:rPr>
            </w:pPr>
            <w:r>
              <w:rPr>
                <w:rFonts w:ascii="Times New Roman" w:eastAsia="宋体" w:hAnsi="Times New Roman" w:cs="Times New Roman" w:hint="eastAsia"/>
                <w:b/>
                <w:bCs/>
                <w:color w:val="000000" w:themeColor="text1"/>
                <w:spacing w:val="0"/>
                <w:w w:val="100"/>
                <w:kern w:val="4"/>
                <w:position w:val="0"/>
                <w:sz w:val="24"/>
                <w:lang w:eastAsia="zh-CN"/>
              </w:rPr>
              <w:drawing>
                <wp:inline distT="0" distB="0" distL="114300" distR="114300">
                  <wp:extent cx="831215" cy="353695"/>
                  <wp:effectExtent l="0" t="0" r="6985" b="8255"/>
                  <wp:docPr id="2" name="图片 2"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640316" name="图片 2" descr="图片签章"/>
                          <pic:cNvPicPr>
                            <a:picLocks noChangeAspect="1"/>
                          </pic:cNvPicPr>
                        </pic:nvPicPr>
                        <pic:blipFill>
                          <a:blip xmlns:r="http://schemas.openxmlformats.org/officeDocument/2006/relationships" r:embed="rId7"/>
                          <a:stretch>
                            <a:fillRect/>
                          </a:stretch>
                        </pic:blipFill>
                        <pic:spPr>
                          <a:xfrm>
                            <a:off x="0" y="0"/>
                            <a:ext cx="831215" cy="353695"/>
                          </a:xfrm>
                          <a:prstGeom prst="rect">
                            <a:avLst/>
                          </a:prstGeom>
                        </pic:spPr>
                      </pic:pic>
                    </a:graphicData>
                  </a:graphic>
                </wp:inline>
              </w:drawing>
            </w:r>
          </w:p>
        </w:tc>
        <w:tc>
          <w:tcPr>
            <w:tcW w:w="1703"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3" w:beforeLines="1" w:beforeAutospacing="0" w:after="3" w:afterLines="1" w:afterAutospacing="0" w:line="260" w:lineRule="exact"/>
              <w:ind w:left="0" w:right="0"/>
              <w:jc w:val="center"/>
              <w:rPr>
                <w:rFonts w:ascii="Times New Roman" w:hAnsi="Times New Roman" w:cs="Times New Roman" w:hint="default"/>
                <w:color w:val="000000" w:themeColor="text1"/>
                <w:spacing w:val="0"/>
                <w:w w:val="100"/>
                <w:kern w:val="4"/>
                <w:position w:val="0"/>
                <w:sz w:val="24"/>
              </w:rPr>
            </w:pPr>
            <w:r>
              <w:rPr>
                <w:rFonts w:ascii="Times New Roman" w:hAnsi="Times New Roman" w:cs="Times New Roman" w:hint="default"/>
                <w:b/>
                <w:bCs/>
                <w:color w:val="000000" w:themeColor="text1"/>
                <w:spacing w:val="0"/>
                <w:w w:val="100"/>
                <w:kern w:val="4"/>
                <w:position w:val="0"/>
                <w:sz w:val="24"/>
              </w:rPr>
              <w:t>审定</w:t>
            </w:r>
          </w:p>
        </w:tc>
        <w:tc>
          <w:tcPr>
            <w:tcW w:w="2240" w:type="dxa"/>
            <w:gridSpan w:val="3"/>
            <w:shd w:val="clear" w:color="auto" w:fill="auto"/>
            <w:tcMar>
              <w:top w:w="15" w:type="dxa"/>
              <w:left w:w="15" w:type="dxa"/>
              <w:bottom w:w="0" w:type="dxa"/>
              <w:right w:w="15" w:type="dxa"/>
            </w:tcMar>
            <w:vAlign w:val="center"/>
          </w:tcPr>
          <w:p>
            <w:pPr>
              <w:keepNext w:val="0"/>
              <w:keepLines w:val="0"/>
              <w:suppressLineNumbers w:val="0"/>
              <w:adjustRightInd w:val="0"/>
              <w:snapToGrid w:val="0"/>
              <w:spacing w:before="3" w:beforeLines="1" w:beforeAutospacing="0" w:after="3" w:afterLines="1" w:afterAutospacing="0" w:line="260" w:lineRule="exact"/>
              <w:ind w:left="0" w:right="0"/>
              <w:jc w:val="both"/>
              <w:rPr>
                <w:rFonts w:ascii="Times New Roman" w:hAnsi="Times New Roman" w:cs="Times New Roman" w:hint="default"/>
                <w:color w:val="000000" w:themeColor="text1"/>
                <w:spacing w:val="0"/>
                <w:w w:val="100"/>
                <w:kern w:val="4"/>
                <w:position w:val="0"/>
                <w:sz w:val="24"/>
              </w:rPr>
            </w:pPr>
            <w:r>
              <w:rPr>
                <w:rFonts w:ascii="Times New Roman" w:eastAsia="宋体" w:hAnsi="Times New Roman" w:cs="Times New Roman" w:hint="eastAsia"/>
                <w:b/>
                <w:bCs/>
                <w:color w:val="000000" w:themeColor="text1"/>
                <w:spacing w:val="0"/>
                <w:w w:val="100"/>
                <w:kern w:val="4"/>
                <w:position w:val="0"/>
                <w:sz w:val="24"/>
                <w:lang w:eastAsia="zh-CN"/>
              </w:rPr>
              <w:drawing>
                <wp:anchor distT="0" distB="0" distL="114300" distR="114300" simplePos="0" relativeHeight="251658240" behindDoc="0" locked="0" layoutInCell="1" allowOverlap="1">
                  <wp:simplePos x="0" y="0"/>
                  <wp:positionH relativeFrom="column">
                    <wp:posOffset>33655</wp:posOffset>
                  </wp:positionH>
                  <wp:positionV relativeFrom="paragraph">
                    <wp:posOffset>10795</wp:posOffset>
                  </wp:positionV>
                  <wp:extent cx="831215" cy="353695"/>
                  <wp:effectExtent l="0" t="0" r="6985" b="8255"/>
                  <wp:wrapSquare wrapText="bothSides"/>
                  <wp:docPr id="7" name="图片 7" descr="图片签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334605" name="图片 7" descr="图片签章"/>
                          <pic:cNvPicPr>
                            <a:picLocks noChangeAspect="1"/>
                          </pic:cNvPicPr>
                        </pic:nvPicPr>
                        <pic:blipFill>
                          <a:blip xmlns:r="http://schemas.openxmlformats.org/officeDocument/2006/relationships" r:embed="rId8"/>
                          <a:stretch>
                            <a:fillRect/>
                          </a:stretch>
                        </pic:blipFill>
                        <pic:spPr>
                          <a:xfrm>
                            <a:off x="0" y="0"/>
                            <a:ext cx="831215" cy="353695"/>
                          </a:xfrm>
                          <a:prstGeom prst="rect">
                            <a:avLst/>
                          </a:prstGeom>
                        </pic:spPr>
                      </pic:pic>
                    </a:graphicData>
                  </a:graphic>
                </wp:anchor>
              </w:drawing>
            </w:r>
          </w:p>
        </w:tc>
      </w:tr>
    </w:tbl>
    <w:p>
      <w:pPr>
        <w:keepNext w:val="0"/>
        <w:keepLines w:val="0"/>
        <w:pageBreakBefore w:val="0"/>
        <w:widowControl w:val="0"/>
        <w:kinsoku/>
        <w:wordWrap/>
        <w:overflowPunct/>
        <w:topLinePunct w:val="0"/>
        <w:autoSpaceDE w:val="0"/>
        <w:autoSpaceDN w:val="0"/>
        <w:bidi w:val="0"/>
        <w:spacing w:before="156" w:beforeLines="50" w:after="156" w:afterLines="50" w:line="360" w:lineRule="auto"/>
        <w:textAlignment w:val="auto"/>
        <w:outlineLvl w:val="2"/>
        <w:rPr>
          <w:rFonts w:ascii="Times New Roman" w:hAnsi="Times New Roman" w:cs="Times New Roman" w:hint="eastAsia"/>
          <w:b/>
          <w:spacing w:val="0"/>
          <w:w w:val="100"/>
          <w:kern w:val="4"/>
          <w:position w:val="0"/>
          <w:sz w:val="24"/>
          <w:lang w:val="en-US" w:eastAsia="zh-CN"/>
        </w:rPr>
      </w:pPr>
      <w:r>
        <w:rPr>
          <w:rFonts w:cs="Times New Roman" w:hint="eastAsia"/>
          <w:b/>
          <w:spacing w:val="0"/>
          <w:w w:val="100"/>
          <w:kern w:val="4"/>
          <w:position w:val="0"/>
          <w:sz w:val="24"/>
          <w:lang w:val="en-US" w:eastAsia="zh-CN"/>
        </w:rPr>
        <w:t>六、毕业要求对培养目标的支撑矩阵和课程体系对毕业要求的支撑矩阵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Theme="minorEastAsia" w:eastAsiaTheme="minorEastAsia" w:hAnsiTheme="minorEastAsia" w:cstheme="minorEastAsia" w:hint="eastAsia"/>
          <w:b w:val="0"/>
          <w:bCs w:val="0"/>
          <w:color w:val="000000" w:themeColor="text1"/>
          <w:lang w:val="en-US" w:eastAsia="zh-CN"/>
        </w:rPr>
      </w:pPr>
      <w:r>
        <w:rPr>
          <w:rFonts w:asciiTheme="minorEastAsia" w:eastAsiaTheme="minorEastAsia" w:hAnsiTheme="minorEastAsia" w:cstheme="minorEastAsia" w:hint="eastAsia"/>
          <w:b w:val="0"/>
          <w:bCs w:val="0"/>
          <w:color w:val="000000" w:themeColor="text1"/>
          <w:highlight w:val="none"/>
          <w:lang w:val="en-US" w:eastAsia="zh-CN"/>
        </w:rPr>
        <w:t>1.毕业要求对培养目标的支撑矩阵</w:t>
      </w: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377"/>
        <w:gridCol w:w="1269"/>
        <w:gridCol w:w="1269"/>
        <w:gridCol w:w="1269"/>
        <w:gridCol w:w="1269"/>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培养目标1</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培养目标2</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培养目标3</w:t>
            </w:r>
          </w:p>
        </w:tc>
        <w:tc>
          <w:tcPr>
            <w:tcW w:w="1269" w:type="dxa"/>
            <w:vAlign w:val="center"/>
          </w:tcPr>
          <w:p>
            <w:pPr>
              <w:keepNext w:val="0"/>
              <w:keepLines w:val="0"/>
              <w:suppressLineNumbers w:val="0"/>
              <w:autoSpaceDE w:val="0"/>
              <w:autoSpaceDN w:val="0"/>
              <w:adjustRightInd w:val="0"/>
              <w:spacing w:before="0" w:beforeAutospacing="0" w:after="0" w:afterAutospacing="0"/>
              <w:ind w:left="0" w:right="0"/>
              <w:jc w:val="center"/>
              <w:rPr>
                <w:rFonts w:ascii="Times New Roman" w:hAnsi="Times New Roman" w:eastAsiaTheme="minorEastAsia" w:cs="Times New Roman" w:hint="default"/>
                <w:szCs w:val="21"/>
              </w:rPr>
            </w:pPr>
            <w:r>
              <w:rPr>
                <w:rFonts w:ascii="Times New Roman" w:hAnsi="Times New Roman" w:eastAsiaTheme="minorEastAsia" w:cs="Times New Roman" w:hint="default"/>
                <w:szCs w:val="21"/>
              </w:rPr>
              <w:t>培养目标4</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毕业要求1</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毕业要求2</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毕业要求3</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r>
        <w:tblPrEx>
          <w:tblW w:w="0" w:type="auto"/>
          <w:tblInd w:w="0" w:type="dxa"/>
          <w:tblLayout w:type="fixed"/>
          <w:tblCellMar>
            <w:top w:w="0" w:type="dxa"/>
            <w:left w:w="108" w:type="dxa"/>
            <w:bottom w:w="0" w:type="dxa"/>
            <w:right w:w="108" w:type="dxa"/>
          </w:tblCellMar>
        </w:tblPrEx>
        <w:trPr>
          <w:trHeight w:hRule="exact" w:val="369"/>
          <w:tblHeader/>
        </w:trPr>
        <w:tc>
          <w:tcPr>
            <w:tcW w:w="1377" w:type="dxa"/>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szCs w:val="21"/>
              </w:rPr>
            </w:pPr>
            <w:r>
              <w:rPr>
                <w:rFonts w:hint="default"/>
                <w:szCs w:val="21"/>
              </w:rPr>
              <w:t>毕业要求4</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c>
          <w:tcPr>
            <w:tcW w:w="1268" w:type="dxa"/>
            <w:vAlign w:val="center"/>
          </w:tcPr>
          <w:p>
            <w:pPr>
              <w:keepNext w:val="0"/>
              <w:keepLines w:val="0"/>
              <w:suppressLineNumbers w:val="0"/>
              <w:autoSpaceDE w:val="0"/>
              <w:autoSpaceDN w:val="0"/>
              <w:adjustRightInd w:val="0"/>
              <w:spacing w:before="0" w:beforeAutospacing="0" w:after="0" w:afterAutospacing="0"/>
              <w:ind w:left="0" w:right="0"/>
              <w:jc w:val="center"/>
              <w:rPr>
                <w:rFonts w:eastAsia="仿宋" w:hint="default"/>
                <w:b/>
                <w:szCs w:val="21"/>
              </w:rPr>
            </w:pPr>
            <w:r>
              <w:rPr>
                <w:rFonts w:eastAsia="仿宋" w:hint="default"/>
                <w:b/>
                <w:szCs w:val="21"/>
              </w:rPr>
              <w:t>√</w:t>
            </w:r>
          </w:p>
        </w:tc>
      </w:tr>
    </w:tbl>
    <w:p>
      <w:pPr>
        <w:sectPr>
          <w:pgSz w:w="11906" w:h="16838"/>
          <w:pgMar w:top="1440" w:right="1800" w:bottom="1440" w:left="1800" w:header="851" w:footer="992" w:gutter="0"/>
          <w:cols w:num="1" w:space="425"/>
          <w:docGrid w:type="lines" w:linePitch="312" w:charSpace="0"/>
        </w:sectPr>
      </w:pPr>
    </w:p>
    <w:p>
      <w:pPr>
        <w:spacing w:line="240" w:lineRule="auto"/>
        <w:textAlignment w:val="center"/>
        <w:rPr>
          <w:rFonts w:ascii="Times New Roman" w:hAnsi="Times New Roman" w:cs="Times New Roman" w:hint="default"/>
          <w:spacing w:val="0"/>
          <w:w w:val="100"/>
          <w:kern w:val="4"/>
          <w:position w:val="0"/>
        </w:rPr>
      </w:pPr>
    </w:p>
    <w:p>
      <w:pPr>
        <w:spacing w:line="240" w:lineRule="auto"/>
        <w:textAlignment w:val="center"/>
        <w:rPr>
          <w:rFonts w:ascii="Times New Roman" w:eastAsia="宋体" w:hAnsi="Times New Roman" w:cs="Times New Roman" w:hint="default"/>
          <w:spacing w:val="0"/>
          <w:w w:val="100"/>
          <w:kern w:val="4"/>
          <w:position w:val="0"/>
          <w:lang w:val="en-US" w:eastAsia="zh-CN"/>
        </w:rPr>
      </w:pPr>
      <w:r>
        <w:rPr>
          <w:rFonts w:cs="Times New Roman" w:hint="eastAsia"/>
          <w:spacing w:val="0"/>
          <w:w w:val="100"/>
          <w:kern w:val="4"/>
          <w:position w:val="0"/>
          <w:lang w:val="en-US" w:eastAsia="zh-CN"/>
        </w:rPr>
        <w:t>2.课程与毕业要求的对应关系矩阵</w:t>
      </w:r>
    </w:p>
    <w:tbl>
      <w:tblPr>
        <w:tblW w:w="5083" w:type="pct"/>
        <w:tblLayout w:type="fixed"/>
        <w:tblLook w:val="04A0"/>
      </w:tblPr>
      <w:tblGrid>
        <w:gridCol w:w="1590"/>
        <w:gridCol w:w="3459"/>
        <w:gridCol w:w="884"/>
        <w:gridCol w:w="707"/>
        <w:gridCol w:w="707"/>
        <w:gridCol w:w="707"/>
        <w:gridCol w:w="707"/>
        <w:gridCol w:w="706"/>
        <w:gridCol w:w="706"/>
        <w:gridCol w:w="706"/>
        <w:gridCol w:w="706"/>
        <w:gridCol w:w="706"/>
        <w:gridCol w:w="706"/>
        <w:gridCol w:w="706"/>
        <w:gridCol w:w="706"/>
      </w:tblGrid>
      <w:tr>
        <w:tblPrEx>
          <w:tblW w:w="5083" w:type="pct"/>
          <w:tblLayout w:type="fixed"/>
          <w:tblLook w:val="04A0"/>
        </w:tblPrEx>
        <w:trPr>
          <w:trHeight w:val="400"/>
          <w:tblHeader/>
        </w:trPr>
        <w:tc>
          <w:tcPr>
            <w:tcW w:w="900"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类别</w:t>
            </w:r>
          </w:p>
        </w:tc>
        <w:tc>
          <w:tcPr>
            <w:tcW w:w="1958"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课程名称</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学分</w:t>
            </w:r>
          </w:p>
        </w:tc>
        <w:tc>
          <w:tcPr>
            <w:tcW w:w="800" w:type="dxa"/>
            <w:gridSpan w:val="2"/>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1</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2</w:t>
            </w:r>
          </w:p>
        </w:tc>
        <w:tc>
          <w:tcPr>
            <w:tcW w:w="1200" w:type="dxa"/>
            <w:gridSpan w:val="3"/>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3</w:t>
            </w:r>
          </w:p>
        </w:tc>
        <w:tc>
          <w:tcPr>
            <w:tcW w:w="1600" w:type="dxa"/>
            <w:gridSpan w:val="4"/>
            <w:tcBorders>
              <w:top w:val="single" w:sz="4" w:space="0" w:color="auto"/>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ascii="宋体" w:hAnsi="宋体" w:hint="eastAsia"/>
                <w:b/>
                <w:bCs/>
                <w:color w:val="000000"/>
                <w:kern w:val="0"/>
                <w:sz w:val="15"/>
                <w:szCs w:val="15"/>
              </w:rPr>
              <w:t>毕业要求</w:t>
            </w:r>
            <w:r>
              <w:rPr>
                <w:rFonts w:eastAsia="等线" w:hint="default"/>
                <w:b/>
                <w:bCs/>
                <w:color w:val="000000"/>
                <w:kern w:val="0"/>
                <w:sz w:val="15"/>
                <w:szCs w:val="15"/>
              </w:rPr>
              <w:t>4</w:t>
            </w:r>
          </w:p>
        </w:tc>
      </w:tr>
      <w:tr>
        <w:tblPrEx>
          <w:tblW w:w="5083" w:type="pct"/>
          <w:tblLayout w:type="fixed"/>
          <w:tblLook w:val="04A0"/>
        </w:tblPrEx>
        <w:trPr>
          <w:trHeight w:val="400"/>
          <w:tblHeader/>
        </w:trPr>
        <w:tc>
          <w:tcPr>
            <w:tcW w:w="900"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1958"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500" w:type="dxa"/>
            <w:vMerge/>
            <w:tcBorders>
              <w:top w:val="single" w:sz="4" w:space="0" w:color="auto"/>
              <w:left w:val="single" w:sz="4" w:space="0" w:color="auto"/>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left"/>
              <w:rPr>
                <w:rFonts w:eastAsia="等线" w:hint="default"/>
                <w:b/>
                <w:bCs/>
                <w:color w:val="000000"/>
                <w:kern w:val="0"/>
                <w:sz w:val="15"/>
                <w:szCs w:val="15"/>
              </w:rPr>
            </w:pP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1</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2</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3</w:t>
            </w:r>
          </w:p>
        </w:tc>
        <w:tc>
          <w:tcPr>
            <w:tcW w:w="400" w:type="dxa"/>
            <w:tcBorders>
              <w:top w:val="nil"/>
              <w:left w:val="nil"/>
              <w:bottom w:val="single" w:sz="4" w:space="0" w:color="auto"/>
              <w:right w:val="single" w:sz="4" w:space="0" w:color="auto"/>
            </w:tcBorders>
            <w:shd w:val="clear" w:color="auto" w:fill="B5C7EA" w:themeFill="accent1" w:themeFillTint="66"/>
            <w:vAlign w:val="center"/>
          </w:tcPr>
          <w:p>
            <w:pPr>
              <w:keepNext w:val="0"/>
              <w:keepLines w:val="0"/>
              <w:widowControl/>
              <w:suppressLineNumbers w:val="0"/>
              <w:spacing w:before="0" w:beforeAutospacing="0" w:after="0" w:afterAutospacing="0" w:line="240" w:lineRule="auto"/>
              <w:ind w:left="0" w:right="0"/>
              <w:jc w:val="center"/>
              <w:rPr>
                <w:rFonts w:eastAsia="等线" w:hint="default"/>
                <w:b/>
                <w:bCs/>
                <w:color w:val="000000"/>
                <w:kern w:val="0"/>
                <w:sz w:val="15"/>
                <w:szCs w:val="15"/>
              </w:rPr>
            </w:pPr>
            <w:r>
              <w:rPr>
                <w:rFonts w:eastAsia="等线" w:hint="default"/>
                <w:b/>
                <w:bCs/>
                <w:color w:val="000000"/>
                <w:kern w:val="0"/>
                <w:sz w:val="15"/>
                <w:szCs w:val="15"/>
              </w:rPr>
              <w:t>4</w:t>
            </w: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马克思主义基本原理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毛泽东思想和中国特色社会主义理论体系概论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思想道德与法治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习近平新时代中国特色社会主义思想概论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形势与政策Ⅳ</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中国近现代史纲要</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改革开放史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社会主义发展史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中国共产党史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中华人民共和国史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军事理论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体育Ⅴ</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体育Ⅳ</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大学英语读写Ⅰ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大学英语读写Ⅱ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大学英语听说Ⅰ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大学英语听说Ⅱ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新文科大学英语Ⅰ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新文科大学英语Ⅱ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计算思维与人工智能导论(B)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信息检索与数智素养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Python程序设计(B)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大学生国家安全教育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大学生劳动教育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大学生心理健康教育</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大学生职业生涯规划与就业指导III</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大学生职业生涯规划与就业指导IV</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科学技术类(学生自选)</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美育限选课(学生自选)</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其他公选类</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通识教育课程模块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中国传统文化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财经法规</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创业项目财务规划与可行性分析</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概率论与数理统计(D)</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高等数学(A)Ⅰ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高等数学(A)Ⅱ</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管理学原理</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管理运筹学(C)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宏观经济学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计量经济学与STATA应用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统计学原理(C)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学科基础课</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线性代数(C)</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财务管理(B)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成本管理会计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创新方法基础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大学生创业基础</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高级财务会计(B)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会计学专业导论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基础会计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审计学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智能财务共享</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智能会计概论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智能会计信息系统</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中级财务会计Ⅰ</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5.0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Excel在会计和财务中的应用</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创业企业财务管理咨询实务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大数据与智能财务决策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管理会计理论专题</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管理信息系统(B)</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国际财务管理(双语)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会计职业道德</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会计专业英语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机器学习与数据挖掘</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金融会计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纳税筹划</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内部控制</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神经网络与深度学习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税法与纳税实务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文本分析与文本挖掘</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政府与非营利组织会计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证券投资学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智能财务分析可视化</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专业教育课程模块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智能审计</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val="restart"/>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财务机器人</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财务决策系统</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会计学专业毕业论文</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14.0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会计学专业毕业实习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会计综合模拟实习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3.0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基础会计模拟实习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劳动教育实践</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0.5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入学教育及军训</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1.5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思想政治理论课实践教学</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智能财务共享实习</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2.5</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H</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r>
        <w:tblPrEx>
          <w:tblW w:w="5083" w:type="pct"/>
          <w:tblLayout w:type="fixed"/>
          <w:tblCellMar>
            <w:top w:w="0" w:type="dxa"/>
            <w:left w:w="108" w:type="dxa"/>
            <w:bottom w:w="0" w:type="dxa"/>
            <w:right w:w="108" w:type="dxa"/>
          </w:tblCellMar>
          <w:tblLook w:val="04A0"/>
        </w:tblPrEx>
        <w:trPr>
          <w:trHeight w:val="300"/>
        </w:trPr>
        <w:tc>
          <w:tcPr>
            <w:tcW w:w="900" w:type="dxa"/>
            <w:vMerge/>
            <w:tcBorders>
              <w:top w:val="nil"/>
              <w:left w:val="single" w:sz="4" w:space="0" w:color="auto"/>
              <w:bottom w:val="single" w:sz="4" w:space="0" w:color="000000"/>
              <w:right w:val="single" w:sz="4" w:space="0" w:color="00000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集中实践环节模块</w:t>
            </w:r>
          </w:p>
        </w:tc>
        <w:tc>
          <w:tcPr>
            <w:tcW w:w="1958"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ascii="宋体" w:hAnsi="宋体" w:cs="宋体" w:hint="default"/>
                <w:color w:val="000000"/>
                <w:kern w:val="0"/>
                <w:sz w:val="15"/>
                <w:szCs w:val="15"/>
              </w:rPr>
            </w:pPr>
            <w:r>
              <w:rPr>
                <w:rFonts w:ascii="宋体" w:hAnsi="宋体" w:cs="宋体" w:hint="eastAsia"/>
                <w:color w:val="000000"/>
                <w:kern w:val="0"/>
                <w:sz w:val="15"/>
                <w:szCs w:val="15"/>
              </w:rPr>
              <w:t>智能会计信息系统</w:t>
            </w:r>
          </w:p>
        </w:tc>
        <w:tc>
          <w:tcPr>
            <w:tcW w:w="400" w:type="dxa"/>
            <w:tcBorders>
              <w:top w:val="nil"/>
              <w:left w:val="nil"/>
              <w:bottom w:val="single" w:sz="4" w:space="0" w:color="auto"/>
              <w:right w:val="single" w:sz="4" w:space="0" w:color="auto"/>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rFonts w:eastAsia="等线" w:hint="default"/>
                <w:color w:val="000000"/>
                <w:kern w:val="0"/>
                <w:sz w:val="15"/>
                <w:szCs w:val="15"/>
              </w:rPr>
              <w:t>2.0</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L</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r>
              <w:rPr>
                <w:color w:val="000000"/>
                <w:kern w:val="0"/>
                <w:sz w:val="15"/>
              </w:rPr>
              <w:t>M</w:t>
            </w:r>
          </w:p>
        </w:tc>
        <w:tc>
          <w:tcPr>
            <w:tcW w:w="40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spacing w:before="0" w:beforeAutospacing="0" w:after="0" w:afterAutospacing="0" w:line="240" w:lineRule="auto"/>
              <w:ind w:left="0" w:right="0"/>
              <w:jc w:val="center"/>
              <w:rPr>
                <w:rFonts w:eastAsia="等线" w:hint="default"/>
                <w:color w:val="000000"/>
                <w:kern w:val="0"/>
                <w:sz w:val="15"/>
                <w:szCs w:val="15"/>
              </w:rPr>
            </w:pPr>
          </w:p>
        </w:tc>
      </w:tr>
    </w:tbl>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left" w:pos="239"/>
        <w:tab w:val="clear" w:pos="4153"/>
      </w:tabs>
      <w:jc w:val="center"/>
    </w:pPr>
    <w:r>
      <w:fldChar w:fldCharType="begin"/>
    </w:r>
    <w:r>
      <w:instrText>PAGE</w:instrText>
    </w:r>
    <w:r>
      <w:fldChar w:fldCharType="separate"/>
    </w:r>
    <w:r>
      <w:fldChar w:fldCharType="end"/>
    </w:r>
    <w:r>
      <w:t xml:space="preserve"> / </w:t>
    </w:r>
    <w:r>
      <w:fldChar w:fldCharType="begin"/>
    </w:r>
    <w:r>
      <w:instrText>NUMPAGES</w:instrText>
    </w:r>
    <w:r>
      <w:fldChar w:fldCharType="separate"/>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E465A95"/>
    <w:rsid w:val="00610625"/>
    <w:rsid w:val="01245B7E"/>
    <w:rsid w:val="024164DA"/>
    <w:rsid w:val="028133CD"/>
    <w:rsid w:val="03305FFE"/>
    <w:rsid w:val="03563CB7"/>
    <w:rsid w:val="039447DF"/>
    <w:rsid w:val="04CE3D21"/>
    <w:rsid w:val="05216546"/>
    <w:rsid w:val="058906CE"/>
    <w:rsid w:val="05A61A15"/>
    <w:rsid w:val="06B56534"/>
    <w:rsid w:val="08B54BB1"/>
    <w:rsid w:val="08FD1499"/>
    <w:rsid w:val="091C01AA"/>
    <w:rsid w:val="0B723374"/>
    <w:rsid w:val="0C4227F9"/>
    <w:rsid w:val="0CE20369"/>
    <w:rsid w:val="0DA04E19"/>
    <w:rsid w:val="0EBA46CB"/>
    <w:rsid w:val="0EED7507"/>
    <w:rsid w:val="0F772D10"/>
    <w:rsid w:val="104942F3"/>
    <w:rsid w:val="104E7368"/>
    <w:rsid w:val="10F466DC"/>
    <w:rsid w:val="11BC6E1B"/>
    <w:rsid w:val="11E903EC"/>
    <w:rsid w:val="15D048D6"/>
    <w:rsid w:val="16706054"/>
    <w:rsid w:val="16761E05"/>
    <w:rsid w:val="178818B3"/>
    <w:rsid w:val="1877314A"/>
    <w:rsid w:val="18815D6B"/>
    <w:rsid w:val="18B54D9E"/>
    <w:rsid w:val="19046C82"/>
    <w:rsid w:val="1A57289D"/>
    <w:rsid w:val="1A870E35"/>
    <w:rsid w:val="1AA248C6"/>
    <w:rsid w:val="1C2C55BB"/>
    <w:rsid w:val="1C423533"/>
    <w:rsid w:val="1C9E4AD6"/>
    <w:rsid w:val="1E566E09"/>
    <w:rsid w:val="1E6900E2"/>
    <w:rsid w:val="1F07606D"/>
    <w:rsid w:val="1FFD146C"/>
    <w:rsid w:val="20C341F2"/>
    <w:rsid w:val="212339B6"/>
    <w:rsid w:val="212B5D0A"/>
    <w:rsid w:val="21F7025F"/>
    <w:rsid w:val="22C100B3"/>
    <w:rsid w:val="23376DEB"/>
    <w:rsid w:val="246B0F38"/>
    <w:rsid w:val="250E179D"/>
    <w:rsid w:val="25C55791"/>
    <w:rsid w:val="26E369D6"/>
    <w:rsid w:val="28221DB2"/>
    <w:rsid w:val="28274F1D"/>
    <w:rsid w:val="28575C58"/>
    <w:rsid w:val="28AF1A40"/>
    <w:rsid w:val="29B30956"/>
    <w:rsid w:val="2A5F40BB"/>
    <w:rsid w:val="2A6401B8"/>
    <w:rsid w:val="2B9F3B9D"/>
    <w:rsid w:val="2BDA4BD6"/>
    <w:rsid w:val="2C106849"/>
    <w:rsid w:val="2C12005C"/>
    <w:rsid w:val="2CFB243E"/>
    <w:rsid w:val="2DCF003E"/>
    <w:rsid w:val="2DF26F45"/>
    <w:rsid w:val="2E2E7611"/>
    <w:rsid w:val="2E8A62B5"/>
    <w:rsid w:val="2E9574DA"/>
    <w:rsid w:val="2FF12000"/>
    <w:rsid w:val="306863FA"/>
    <w:rsid w:val="308D7093"/>
    <w:rsid w:val="30D00355"/>
    <w:rsid w:val="31421AF1"/>
    <w:rsid w:val="314A1D82"/>
    <w:rsid w:val="325F111E"/>
    <w:rsid w:val="326E7E26"/>
    <w:rsid w:val="327F1099"/>
    <w:rsid w:val="33113F6F"/>
    <w:rsid w:val="3330157F"/>
    <w:rsid w:val="333077D1"/>
    <w:rsid w:val="34BE4140"/>
    <w:rsid w:val="34DF500B"/>
    <w:rsid w:val="354E2190"/>
    <w:rsid w:val="35D541B3"/>
    <w:rsid w:val="36533CC4"/>
    <w:rsid w:val="36CA7816"/>
    <w:rsid w:val="37A3583F"/>
    <w:rsid w:val="3885006C"/>
    <w:rsid w:val="38996B9A"/>
    <w:rsid w:val="3A41067F"/>
    <w:rsid w:val="3ACC4283"/>
    <w:rsid w:val="3C3F30EB"/>
    <w:rsid w:val="3C673F2A"/>
    <w:rsid w:val="3D1B6DFC"/>
    <w:rsid w:val="3D472B15"/>
    <w:rsid w:val="3FD37E62"/>
    <w:rsid w:val="404D01E8"/>
    <w:rsid w:val="40F00D7D"/>
    <w:rsid w:val="40FC63F3"/>
    <w:rsid w:val="413A38D4"/>
    <w:rsid w:val="418A4E23"/>
    <w:rsid w:val="45965BB9"/>
    <w:rsid w:val="45B55914"/>
    <w:rsid w:val="45EB3705"/>
    <w:rsid w:val="47134FF8"/>
    <w:rsid w:val="47BE633D"/>
    <w:rsid w:val="48116EDB"/>
    <w:rsid w:val="4B2C4F40"/>
    <w:rsid w:val="4B8267D2"/>
    <w:rsid w:val="4B8F59ED"/>
    <w:rsid w:val="4D6D0D89"/>
    <w:rsid w:val="4E6E0DEE"/>
    <w:rsid w:val="4E7312C8"/>
    <w:rsid w:val="4EDA3305"/>
    <w:rsid w:val="4F597ACD"/>
    <w:rsid w:val="508814BC"/>
    <w:rsid w:val="50FA6E95"/>
    <w:rsid w:val="51E447B1"/>
    <w:rsid w:val="520D1688"/>
    <w:rsid w:val="52CF6252"/>
    <w:rsid w:val="5309699E"/>
    <w:rsid w:val="541B6B98"/>
    <w:rsid w:val="54AC305F"/>
    <w:rsid w:val="55063453"/>
    <w:rsid w:val="55A45A27"/>
    <w:rsid w:val="55D0590B"/>
    <w:rsid w:val="5682314E"/>
    <w:rsid w:val="57385095"/>
    <w:rsid w:val="5763068E"/>
    <w:rsid w:val="592D28E9"/>
    <w:rsid w:val="5C372B0C"/>
    <w:rsid w:val="5C5E4621"/>
    <w:rsid w:val="5C8962D7"/>
    <w:rsid w:val="5CB3474E"/>
    <w:rsid w:val="5CB53A0D"/>
    <w:rsid w:val="5DE87AF2"/>
    <w:rsid w:val="5EB26BFE"/>
    <w:rsid w:val="5F0C439F"/>
    <w:rsid w:val="5F8852BC"/>
    <w:rsid w:val="5FEB236D"/>
    <w:rsid w:val="5FFF5CB2"/>
    <w:rsid w:val="60347E2A"/>
    <w:rsid w:val="6054690E"/>
    <w:rsid w:val="61F45CEA"/>
    <w:rsid w:val="63BD210C"/>
    <w:rsid w:val="64030466"/>
    <w:rsid w:val="640D4E41"/>
    <w:rsid w:val="64694A07"/>
    <w:rsid w:val="664178E3"/>
    <w:rsid w:val="66D76E6D"/>
    <w:rsid w:val="67694CDA"/>
    <w:rsid w:val="67B83CE7"/>
    <w:rsid w:val="67E2431E"/>
    <w:rsid w:val="67F36F91"/>
    <w:rsid w:val="686679E3"/>
    <w:rsid w:val="68B40142"/>
    <w:rsid w:val="69160E69"/>
    <w:rsid w:val="6ADE7537"/>
    <w:rsid w:val="6B642CA1"/>
    <w:rsid w:val="6B6D0959"/>
    <w:rsid w:val="6CF02DCB"/>
    <w:rsid w:val="6D5F4DF9"/>
    <w:rsid w:val="6DF64CF4"/>
    <w:rsid w:val="6E465A95"/>
    <w:rsid w:val="6EBB71F2"/>
    <w:rsid w:val="6F357E06"/>
    <w:rsid w:val="6F8F6484"/>
    <w:rsid w:val="71EA64F7"/>
    <w:rsid w:val="72264FDB"/>
    <w:rsid w:val="7416564C"/>
    <w:rsid w:val="746F497D"/>
    <w:rsid w:val="74E17AD3"/>
    <w:rsid w:val="756C4377"/>
    <w:rsid w:val="76085536"/>
    <w:rsid w:val="77277B70"/>
    <w:rsid w:val="777A5920"/>
    <w:rsid w:val="77A318EC"/>
    <w:rsid w:val="7856695F"/>
    <w:rsid w:val="789314F6"/>
    <w:rsid w:val="7A4D3D91"/>
    <w:rsid w:val="7A5F6ACA"/>
    <w:rsid w:val="7AF206A2"/>
    <w:rsid w:val="7B5B428C"/>
    <w:rsid w:val="7BC14128"/>
    <w:rsid w:val="7C9308B8"/>
    <w:rsid w:val="7CC45C25"/>
    <w:rsid w:val="7D433B62"/>
    <w:rsid w:val="7D584F27"/>
    <w:rsid w:val="7E48506D"/>
    <w:rsid w:val="7E926838"/>
    <w:rsid w:val="7ECA3C03"/>
    <w:rsid w:val="7F7F2C3F"/>
    <w:rsid w:val="7FD879C8"/>
    <w:rsid w:val="7FE505C8"/>
  </w:rsids>
  <w:docVars>
    <w:docVar w:name="commondata" w:val="eyJoZGlkIjoiYWNiNGNlZDRiNDUxNzQxZTgyMWI5YzM5NDMwMWQ0Y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400" w:lineRule="exact"/>
      <w:jc w:val="both"/>
    </w:pPr>
    <w:rPr>
      <w:rFonts w:ascii="Times New Roman" w:eastAsia="宋体" w:hAnsi="Times New Roman" w:cs="Times New Roman"/>
      <w:kern w:val="6"/>
      <w:sz w:val="21"/>
      <w:szCs w:val="24"/>
      <w:lang w:val="en-US" w:eastAsia="zh-CN" w:bidi="ar-SA"/>
    </w:rPr>
  </w:style>
  <w:style w:type="paragraph" w:styleId="Heading1">
    <w:name w:val="heading 1"/>
    <w:basedOn w:val="Normal"/>
    <w:next w:val="Normal"/>
    <w:qFormat/>
    <w:pPr>
      <w:keepNext/>
      <w:pageBreakBefore/>
      <w:autoSpaceDE/>
      <w:autoSpaceDN w:val="0"/>
      <w:adjustRightInd w:val="0"/>
      <w:ind w:left="0"/>
      <w:jc w:val="center"/>
      <w:textAlignment w:val="center"/>
      <w:outlineLvl w:val="0"/>
    </w:pPr>
    <w:rPr>
      <w:rFonts w:ascii="Microsoft JhengHei" w:eastAsia="方正小标宋_GBK" w:hAnsi="Microsoft JhengHei" w:cs="Microsoft JhengHei"/>
      <w:bCs/>
      <w:kern w:val="0"/>
      <w:sz w:val="44"/>
      <w:lang w:eastAsia="en-US"/>
    </w:rPr>
  </w:style>
  <w:style w:type="paragraph" w:styleId="Heading2">
    <w:name w:val="heading 2"/>
    <w:basedOn w:val="Normal"/>
    <w:next w:val="Normal"/>
    <w:semiHidden/>
    <w:unhideWhenUsed/>
    <w:qFormat/>
    <w:pPr>
      <w:keepNext/>
      <w:keepLines/>
      <w:spacing w:before="140" w:beforeLines="0" w:beforeAutospacing="0" w:after="140" w:afterLines="0" w:afterAutospacing="0" w:line="413" w:lineRule="auto"/>
      <w:outlineLvl w:val="1"/>
    </w:pPr>
    <w:rPr>
      <w:rFonts w:ascii="Arial" w:eastAsia="宋体" w:hAnsi="Arial" w:cs="Times New Roman"/>
      <w:b/>
      <w:sz w:val="24"/>
    </w:rPr>
  </w:style>
  <w:style w:type="paragraph" w:styleId="Heading3">
    <w:name w:val="heading 3"/>
    <w:basedOn w:val="Normal"/>
    <w:next w:val="Normal"/>
    <w:semiHidden/>
    <w:unhideWhenUsed/>
    <w:qFormat/>
    <w:pPr>
      <w:keepNext/>
      <w:keepLines/>
      <w:widowControl/>
      <w:adjustRightInd w:val="0"/>
      <w:snapToGrid/>
      <w:spacing w:after="200" w:afterLines="200" w:line="240" w:lineRule="auto"/>
      <w:ind w:firstLine="0" w:firstLineChars="0"/>
      <w:jc w:val="center"/>
      <w:textAlignment w:val="center"/>
      <w:outlineLvl w:val="2"/>
    </w:pPr>
    <w:rPr>
      <w:rFonts w:ascii="Times New Roman" w:eastAsia="宋体" w:hAnsi="Times New Roman"/>
      <w:b/>
      <w:kern w:val="0"/>
      <w:sz w:val="24"/>
      <w:szCs w:val="21"/>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CommentText">
    <w:name w:val="annotation text"/>
    <w:basedOn w:val="Normal"/>
    <w:link w:val="a"/>
    <w:qFormat/>
    <w:pPr>
      <w:jc w:val="left"/>
    </w:pPr>
  </w:style>
  <w:style w:type="paragraph" w:styleId="Footer">
    <w:name w:val="footer"/>
    <w:basedOn w:val="Normal"/>
    <w:qFormat/>
    <w:pPr>
      <w:tabs>
        <w:tab w:val="center" w:pos="4153"/>
        <w:tab w:val="right" w:pos="8306"/>
      </w:tabs>
      <w:autoSpaceDE w:val="0"/>
      <w:autoSpaceDN w:val="0"/>
      <w:snapToGrid w:val="0"/>
      <w:jc w:val="left"/>
    </w:pPr>
    <w:rPr>
      <w:rFonts w:ascii="Times New Roman" w:eastAsia="Times New Roman" w:hAnsi="Times New Roman"/>
      <w:kern w:val="0"/>
      <w:sz w:val="18"/>
      <w:szCs w:val="18"/>
      <w:lang w:eastAsia="en-U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a">
    <w:name w:val="批注文字 字符"/>
    <w:basedOn w:val="DefaultParagraphFont"/>
    <w:link w:val="CommentText"/>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theme" Target="theme/theme1.xml"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false">
              <a:schemeClr val="phClr">
                <a:alpha val="60000"/>
              </a:schemeClr>
            </a:outerShdw>
          </a:effectLst>
        </a:effectStyle>
        <a:effectStyle>
          <a:effectLst>
            <a:reflection stA="50000" endA="300" endPos="40000" dist="25400" dir="5400000" sy="-100000" algn="bl" rotWithShape="fals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s="http://www.wps.cn/officeDocument/2013/wpsCustomData" xmlns="http://www.wps.cn/officeDocument/2013/wpsCustomData" xmlns:pkg="http://schemas.microsoft.com/office/2006/xmlPackage">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5375</Words>
  <Characters>5589</Characters>
  <Application>Microsoft Office Word</Application>
  <DocSecurity>0</DocSecurity>
  <Lines>0</Lines>
  <Paragraphs>0</Paragraphs>
  <ScaleCrop>false</ScaleCrop>
  <Company/>
  <LinksUpToDate>false</LinksUpToDate>
  <CharactersWithSpaces>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dc:creator>
  <cp:lastModifiedBy>Administrator</cp:lastModifiedBy>
  <cp:revision>1</cp:revision>
  <dcterms:created xsi:type="dcterms:W3CDTF">2025-06-11T08:44:00Z</dcterms:created>
  <dcterms:modified xsi:type="dcterms:W3CDTF">2025-07-08T07:01:38Z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D359A9674A6B45019725B53E0CBE6EA8</vt:lpwstr>
  </property>
  <property fmtid="{D5CDD505-2E9C-101B-9397-08002B2CF9AE}" pid="3" name="KSOProductBuildVer">
    <vt:lpwstr>2052-11.1.0.10938</vt:lpwstr>
  </property>
  <property fmtid="{D5CDD505-2E9C-101B-9397-08002B2CF9AE}" pid="4" name="KSOTemplateDocerSaveRecord">
    <vt:lpwstr>eyJoZGlkIjoiZjNjZmQyYTE1MzhlNjA5NmY1MTc4Y2YzZGE3YjVkZGIiLCJ1c2VySWQiOiI1ODc0NjU3ODQifQ==</vt:lpwstr>
  </property>
</Properties>
</file>